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3EEA4266" w:rsidR="009A0487" w:rsidRPr="009C541F" w:rsidRDefault="004A76A6">
      <w:pPr>
        <w:pStyle w:val="Title"/>
      </w:pPr>
      <w:r w:rsidRPr="004A76A6">
        <w:t xml:space="preserve">Day-ahead optimal scheduling of micro gas turbine-based microgrid considering electricity and heating </w:t>
      </w:r>
      <w:proofErr w:type="gramStart"/>
      <w:r w:rsidRPr="004A76A6">
        <w:t>energy</w:t>
      </w:r>
      <w:proofErr w:type="gramEnd"/>
    </w:p>
    <w:p w14:paraId="23A69985" w14:textId="6BEA3E8F" w:rsidR="009A0487" w:rsidRDefault="004A76A6" w:rsidP="004A76A6">
      <w:pPr>
        <w:pStyle w:val="Authors"/>
      </w:pPr>
      <w:r>
        <w:t>Q</w:t>
      </w:r>
      <w:r w:rsidR="00534339">
        <w:t>ian</w:t>
      </w:r>
      <w:r w:rsidR="00274766">
        <w:t xml:space="preserve"> </w:t>
      </w:r>
      <w:r>
        <w:t>Z</w:t>
      </w:r>
      <w:r>
        <w:rPr>
          <w:rFonts w:eastAsia="Times New Roman"/>
        </w:rPr>
        <w:t>hang</w:t>
      </w:r>
      <w:r w:rsidR="00274766">
        <w:rPr>
          <w:vertAlign w:val="superscript"/>
        </w:rPr>
        <w:t>1, *</w:t>
      </w:r>
      <w:r w:rsidR="00274766">
        <w:t>, M</w:t>
      </w:r>
      <w:r w:rsidR="00534339">
        <w:t>ohsen</w:t>
      </w:r>
      <w:r w:rsidR="00274766">
        <w:t xml:space="preserve"> </w:t>
      </w:r>
      <w:r>
        <w:t>Assadi</w:t>
      </w:r>
      <w:r w:rsidR="00274766">
        <w:rPr>
          <w:vertAlign w:val="superscript"/>
        </w:rPr>
        <w:t>1</w:t>
      </w:r>
      <w:r w:rsidR="00274766">
        <w:t xml:space="preserve"> </w:t>
      </w:r>
    </w:p>
    <w:p w14:paraId="16A88876" w14:textId="65171C82" w:rsidR="00006EA6" w:rsidRDefault="00274766" w:rsidP="004A76A6">
      <w:pPr>
        <w:pStyle w:val="Addresses"/>
        <w:spacing w:after="0"/>
      </w:pPr>
      <w:r>
        <w:rPr>
          <w:vertAlign w:val="superscript"/>
        </w:rPr>
        <w:t xml:space="preserve">1 </w:t>
      </w:r>
      <w:r w:rsidR="004A76A6" w:rsidRPr="004A76A6">
        <w:t>Department of Energy and Petroleum Engineering, University of Stavanger, Stavanger, Norway</w:t>
      </w:r>
    </w:p>
    <w:p w14:paraId="167EFDB4" w14:textId="77777777" w:rsidR="004A76A6" w:rsidRPr="004A76A6" w:rsidRDefault="004A76A6" w:rsidP="004A76A6">
      <w:pPr>
        <w:pStyle w:val="E-mail"/>
        <w:rPr>
          <w:lang w:val="en-GB"/>
        </w:rPr>
      </w:pPr>
    </w:p>
    <w:p w14:paraId="5A87E278" w14:textId="2DD41D9E" w:rsidR="009A0487" w:rsidRDefault="00274766">
      <w:pPr>
        <w:pStyle w:val="E-mail"/>
      </w:pPr>
      <w:r>
        <w:rPr>
          <w:vertAlign w:val="superscript"/>
        </w:rPr>
        <w:t xml:space="preserve">* </w:t>
      </w:r>
      <w:r w:rsidR="004A76A6">
        <w:t>q.zhang@uis.no</w:t>
      </w:r>
    </w:p>
    <w:p w14:paraId="2A07FA00" w14:textId="293E89E4" w:rsidR="009A0487" w:rsidRDefault="009A0487">
      <w:pPr>
        <w:pStyle w:val="Abstract"/>
      </w:pPr>
      <w:r>
        <w:rPr>
          <w:b/>
        </w:rPr>
        <w:t>Abstract</w:t>
      </w:r>
      <w:r>
        <w:t xml:space="preserve">. </w:t>
      </w:r>
      <w:r w:rsidR="004A76A6" w:rsidRPr="004A76A6">
        <w:rPr>
          <w:rFonts w:ascii="Times New Roman" w:hAnsi="Times New Roman"/>
        </w:rPr>
        <w:t xml:space="preserve">Microgrids are considered as the crucial element in the integration of various distributed energy resources in buildings. They </w:t>
      </w:r>
      <w:proofErr w:type="gramStart"/>
      <w:r w:rsidR="004A76A6" w:rsidRPr="004A76A6">
        <w:rPr>
          <w:rFonts w:ascii="Times New Roman" w:hAnsi="Times New Roman"/>
        </w:rPr>
        <w:t>are capable of operating</w:t>
      </w:r>
      <w:proofErr w:type="gramEnd"/>
      <w:r w:rsidR="004A76A6" w:rsidRPr="004A76A6">
        <w:rPr>
          <w:rFonts w:ascii="Times New Roman" w:hAnsi="Times New Roman"/>
        </w:rPr>
        <w:t xml:space="preserve"> in both grid-connected and islanded mode and have shown immense potential in absorbing renewable energy. However, the widespread implementation of intermittent renewable energy sources, coupled with variable electricity pricing, has significantly increased the operation uncertainty of microgrids. This paper presents an analysis of the operation strategies of an integrated energy system that includes a micro gas turbine, a ground</w:t>
      </w:r>
      <w:r w:rsidR="00125017">
        <w:rPr>
          <w:rFonts w:ascii="Times New Roman" w:hAnsi="Times New Roman"/>
        </w:rPr>
        <w:t xml:space="preserve"> </w:t>
      </w:r>
      <w:r w:rsidR="004A76A6" w:rsidRPr="004A76A6">
        <w:rPr>
          <w:rFonts w:ascii="Times New Roman" w:hAnsi="Times New Roman"/>
        </w:rPr>
        <w:t xml:space="preserve">source heat pump, PV panels with the aim of meeting the heating and electricity demands of a commercial building. To facilitate this </w:t>
      </w:r>
      <w:proofErr w:type="spellStart"/>
      <w:r w:rsidR="004A76A6" w:rsidRPr="004A76A6">
        <w:rPr>
          <w:rFonts w:ascii="Times New Roman" w:hAnsi="Times New Roman"/>
        </w:rPr>
        <w:t>endeavor</w:t>
      </w:r>
      <w:proofErr w:type="spellEnd"/>
      <w:r w:rsidR="004A76A6" w:rsidRPr="004A76A6">
        <w:rPr>
          <w:rFonts w:ascii="Times New Roman" w:hAnsi="Times New Roman"/>
        </w:rPr>
        <w:t>, a neural network model for micro gas turbines was developed with a focus on fast computation time and high accuracy in capturing off-design performance. Furthermore, mathematical models for ground</w:t>
      </w:r>
      <w:r w:rsidR="00125017">
        <w:rPr>
          <w:rFonts w:ascii="Times New Roman" w:hAnsi="Times New Roman"/>
        </w:rPr>
        <w:t xml:space="preserve"> </w:t>
      </w:r>
      <w:r w:rsidR="004A76A6" w:rsidRPr="004A76A6">
        <w:rPr>
          <w:rFonts w:ascii="Times New Roman" w:hAnsi="Times New Roman"/>
        </w:rPr>
        <w:t xml:space="preserve">source heat pump, PV panel were developed and validated using the </w:t>
      </w:r>
      <w:proofErr w:type="spellStart"/>
      <w:r w:rsidR="004A76A6" w:rsidRPr="004A76A6">
        <w:rPr>
          <w:rFonts w:ascii="Times New Roman" w:hAnsi="Times New Roman"/>
        </w:rPr>
        <w:t>Modelica</w:t>
      </w:r>
      <w:proofErr w:type="spellEnd"/>
      <w:r w:rsidR="004A76A6" w:rsidRPr="004A76A6">
        <w:rPr>
          <w:rFonts w:ascii="Times New Roman" w:hAnsi="Times New Roman"/>
        </w:rPr>
        <w:t xml:space="preserve"> language. </w:t>
      </w:r>
      <w:proofErr w:type="spellStart"/>
      <w:r w:rsidR="004A76A6" w:rsidRPr="004A76A6">
        <w:rPr>
          <w:rFonts w:ascii="Times New Roman" w:hAnsi="Times New Roman"/>
        </w:rPr>
        <w:t>Dymola</w:t>
      </w:r>
      <w:proofErr w:type="spellEnd"/>
      <w:r w:rsidR="004A76A6" w:rsidRPr="004A76A6">
        <w:rPr>
          <w:rFonts w:ascii="Times New Roman" w:hAnsi="Times New Roman"/>
        </w:rPr>
        <w:t xml:space="preserve"> optimization package was utilized to derive the day-ahead scheduling followed by one-hour intervals for the system, with the purpose of minimizing the electricity and heating costs associated with the </w:t>
      </w:r>
      <w:r w:rsidR="004A76A6" w:rsidRPr="00B226E7">
        <w:rPr>
          <w:rFonts w:ascii="Times New Roman" w:hAnsi="Times New Roman"/>
        </w:rPr>
        <w:t xml:space="preserve">system. The results demonstrate that the total costs could be reduced by approximately </w:t>
      </w:r>
      <w:r w:rsidR="00513EE3" w:rsidRPr="00B226E7">
        <w:rPr>
          <w:rFonts w:ascii="Times New Roman" w:hAnsi="Times New Roman"/>
        </w:rPr>
        <w:t>51</w:t>
      </w:r>
      <w:r w:rsidR="004A76A6" w:rsidRPr="00B226E7">
        <w:rPr>
          <w:rFonts w:ascii="Times New Roman" w:hAnsi="Times New Roman"/>
        </w:rPr>
        <w:t xml:space="preserve">% during the </w:t>
      </w:r>
      <w:proofErr w:type="spellStart"/>
      <w:r w:rsidR="004A76A6" w:rsidRPr="00B226E7">
        <w:rPr>
          <w:rFonts w:ascii="Times New Roman" w:hAnsi="Times New Roman"/>
        </w:rPr>
        <w:t>analyzed</w:t>
      </w:r>
      <w:proofErr w:type="spellEnd"/>
      <w:r w:rsidR="004A76A6" w:rsidRPr="00B226E7">
        <w:rPr>
          <w:rFonts w:ascii="Times New Roman" w:hAnsi="Times New Roman"/>
        </w:rPr>
        <w:t xml:space="preserve"> period, indicating a promising avenue for cost savings in the system's operation.</w:t>
      </w:r>
    </w:p>
    <w:p w14:paraId="0F0E94C4" w14:textId="77777777" w:rsidR="009A0487" w:rsidRDefault="00274766">
      <w:pPr>
        <w:pStyle w:val="Section"/>
      </w:pPr>
      <w:r>
        <w:t>Introduction</w:t>
      </w:r>
    </w:p>
    <w:p w14:paraId="50FE3078" w14:textId="66737BBB" w:rsidR="004A76A6" w:rsidRDefault="004A76A6" w:rsidP="004A76A6">
      <w:pPr>
        <w:pStyle w:val="BodytextIndented"/>
        <w:ind w:firstLine="0"/>
      </w:pPr>
      <w:r>
        <w:t>To address climate change, there is a growing global shift towards renewable energy sources as a sustainable and eco-friendly alternative to fossil fuels. However, the intermittent nature of renewable energy poses a significant obstacle to its consistent and reliable generation. One potential solution to tackle this challenge is the implementation of microgrid. A microgrid is a decentralized energy system that integrates a variety of distributed energy resources and energy storage techniques to meet users’ demands, such as heating, cooling, and electricity [</w:t>
      </w:r>
      <w:r w:rsidR="00A14CC9">
        <w:t>1</w:t>
      </w:r>
      <w:r>
        <w:t xml:space="preserve">]. It offers the flexibility to operate in both grid-connected and islanded configurations. </w:t>
      </w:r>
    </w:p>
    <w:p w14:paraId="429642BC" w14:textId="77777777" w:rsidR="004A76A6" w:rsidRDefault="004A76A6" w:rsidP="004A76A6">
      <w:pPr>
        <w:pStyle w:val="BodytextIndented"/>
      </w:pPr>
    </w:p>
    <w:p w14:paraId="198B09A8" w14:textId="0D1EA39E" w:rsidR="004A76A6" w:rsidRDefault="004A76A6" w:rsidP="004A76A6">
      <w:pPr>
        <w:pStyle w:val="BodytextIndented"/>
        <w:ind w:firstLine="0"/>
      </w:pPr>
      <w:r>
        <w:t>The MGT has captured considerable attention worldwide due to its compact size, high power-to-weight ratio, and fuel flexibility. As a dispatchable generation source, MGT can integrate with renewable energy sources, ensuring a reliable energy supply when renewable energy is not available. Extensive investigations have been conducted on MGT-based microgrids. Das et al. [</w:t>
      </w:r>
      <w:r w:rsidR="00BD26D4">
        <w:t>2</w:t>
      </w:r>
      <w:r>
        <w:t xml:space="preserve">] examined the techno-economic aspects of an off-grid community's microgrid that consisting of PV, wind turbine, battery, and MGT, aimed to meet the electricity and heating demand. The findings revealed a significant reduction in the initial investment by utilizing waste heat from MGT. Furthermore, the proposed system, capable </w:t>
      </w:r>
      <w:r>
        <w:lastRenderedPageBreak/>
        <w:t>of meeting both electricity and heating demand, achieved a 40% reduction in CO</w:t>
      </w:r>
      <w:r w:rsidRPr="00125017">
        <w:rPr>
          <w:vertAlign w:val="subscript"/>
        </w:rPr>
        <w:t>2</w:t>
      </w:r>
      <w:r>
        <w:t xml:space="preserve"> emissions compared to a system focused solely on electricity. Kumar et al. [</w:t>
      </w:r>
      <w:r w:rsidR="00536F49">
        <w:t>3</w:t>
      </w:r>
      <w:r>
        <w:t xml:space="preserve">] proposed a microgrid that encompasses PV, battery, MGT, a desalination unit, and a gasifier. This hybrid energy system aims to meet the community's demand for electricity, clean water, and gas. Through techno-economic optimization, the researchers determined that the optimized system could generate 80,423 kWh of electricity and 34,778 MJ of heat annually. Moreover, the recovery of waste heat from MGT allowed the desalination unit to produce 9,516 liters of clean water per day. </w:t>
      </w:r>
    </w:p>
    <w:p w14:paraId="05FE1FF7" w14:textId="77777777" w:rsidR="004A76A6" w:rsidRDefault="004A76A6" w:rsidP="004A76A6">
      <w:pPr>
        <w:pStyle w:val="BodytextIndented"/>
      </w:pPr>
    </w:p>
    <w:p w14:paraId="011D0779" w14:textId="65F4A584" w:rsidR="004A76A6" w:rsidRDefault="004A76A6" w:rsidP="004A76A6">
      <w:pPr>
        <w:pStyle w:val="BodytextIndented"/>
        <w:ind w:firstLine="0"/>
      </w:pPr>
      <w:r>
        <w:t xml:space="preserve">Considering the intermittency of renewable energy and the continuously shifting user demands, implementing day-ahead scheduling in microgrids is paramount to efficiently manage energy supply and storage. </w:t>
      </w:r>
      <w:proofErr w:type="spellStart"/>
      <w:r w:rsidR="00835BFC">
        <w:t>Pallante</w:t>
      </w:r>
      <w:proofErr w:type="spellEnd"/>
      <w:r w:rsidR="00835BFC">
        <w:t xml:space="preserve"> et al.</w:t>
      </w:r>
      <w:r>
        <w:t xml:space="preserve"> [</w:t>
      </w:r>
      <w:r w:rsidR="00536F49">
        <w:t>4</w:t>
      </w:r>
      <w:r>
        <w:t xml:space="preserve">] conducted a study on day-ahead scheduling for a real office building equipped with a heating system, fan coil power supply network, and lighting network. MATLAB/Simulink was employed to create a physical model of the building. </w:t>
      </w:r>
      <w:proofErr w:type="gramStart"/>
      <w:r>
        <w:t>Taking into account</w:t>
      </w:r>
      <w:proofErr w:type="gramEnd"/>
      <w:r>
        <w:t xml:space="preserve"> weather conditions and hourly energy prices, the study determined optimal schedules for room temperature set points and flow water temperature set points. The results demonstrated significant potential cost savings, ranging from 10% to 28% across diverse scenarios. Reynolds et.al [</w:t>
      </w:r>
      <w:r w:rsidR="00A44EE3">
        <w:t>5</w:t>
      </w:r>
      <w:r>
        <w:t>] developed a data-driven model for a small office building located in Cardiff, UK, using artificial neural networks. Genetic algorithm was employed to derive the day-ahead scheduling for the room temperature set-point. The study highlighted a significant 25% reduction in energy consumption achieved through optimized scheduling compared to a baseline heating strategy.</w:t>
      </w:r>
    </w:p>
    <w:p w14:paraId="51B45E09" w14:textId="77777777" w:rsidR="004A76A6" w:rsidRDefault="004A76A6" w:rsidP="004A76A6">
      <w:pPr>
        <w:pStyle w:val="BodytextIndented"/>
      </w:pPr>
    </w:p>
    <w:p w14:paraId="38E8CD5C" w14:textId="0F885824" w:rsidR="009A0487" w:rsidRDefault="004A76A6" w:rsidP="004A76A6">
      <w:pPr>
        <w:pStyle w:val="BodytextIndented"/>
        <w:ind w:firstLine="0"/>
      </w:pPr>
      <w:r>
        <w:t>This paper examines a day-ahead scheduling strategy for a microgrid that integrates a MGT, PV system, and GSHP. Dynamic simulation models for the primary components have been developed and validated. The genetic algorithm has been employed for the dynamic scheduling. A comparison to a rule-based operation strategy emphasizes the advantages of the proposed approach.</w:t>
      </w:r>
    </w:p>
    <w:p w14:paraId="561B1059" w14:textId="7C22B788" w:rsidR="009A0487" w:rsidRDefault="00637AC2">
      <w:pPr>
        <w:pStyle w:val="Section"/>
      </w:pPr>
      <w:r>
        <w:t>System description</w:t>
      </w:r>
    </w:p>
    <w:p w14:paraId="4444BF7D" w14:textId="397B35E5" w:rsidR="004A76A6" w:rsidRDefault="004A76A6" w:rsidP="004A76A6">
      <w:pPr>
        <w:pStyle w:val="BodytextIndented"/>
        <w:ind w:firstLine="0"/>
        <w:rPr>
          <w:rFonts w:ascii="Times New Roman" w:hAnsi="Times New Roman"/>
        </w:rPr>
      </w:pPr>
      <w:r w:rsidRPr="004A76A6">
        <w:rPr>
          <w:rFonts w:ascii="Times New Roman" w:hAnsi="Times New Roman"/>
        </w:rPr>
        <w:t xml:space="preserve">Within this study, we investigated a microgrid integrating a MGT, PV system, and GSHP to satisfy both the heating and electricity needs of an office building. The MGT, PV system, and grid power are utilized to address the electricity demand. Additionally, GSHP and the waste heat from the MGT was utilized to meet the heating demand. The schematic of the microgrid is shown in </w:t>
      </w:r>
      <w:r w:rsidRPr="00BF46F5">
        <w:rPr>
          <w:rFonts w:ascii="Times New Roman" w:hAnsi="Times New Roman"/>
        </w:rPr>
        <w:t xml:space="preserve">the </w:t>
      </w:r>
      <w:r w:rsidR="00BF46F5" w:rsidRPr="00BF46F5">
        <w:rPr>
          <w:rFonts w:ascii="Times New Roman" w:hAnsi="Times New Roman"/>
        </w:rPr>
        <w:fldChar w:fldCharType="begin"/>
      </w:r>
      <w:r w:rsidR="00BF46F5" w:rsidRPr="00BF46F5">
        <w:rPr>
          <w:rFonts w:ascii="Times New Roman" w:hAnsi="Times New Roman"/>
        </w:rPr>
        <w:instrText xml:space="preserve"> REF _Ref146734506 \h  \* MERGEFORMAT </w:instrText>
      </w:r>
      <w:r w:rsidR="00BF46F5" w:rsidRPr="00BF46F5">
        <w:rPr>
          <w:rFonts w:ascii="Times New Roman" w:hAnsi="Times New Roman"/>
        </w:rPr>
      </w:r>
      <w:r w:rsidR="00BF46F5" w:rsidRPr="00BF46F5">
        <w:rPr>
          <w:rFonts w:ascii="Times New Roman" w:hAnsi="Times New Roman"/>
        </w:rPr>
        <w:fldChar w:fldCharType="separate"/>
      </w:r>
      <w:r w:rsidR="002B44BC" w:rsidRPr="002B44BC">
        <w:rPr>
          <w:rFonts w:ascii="Times New Roman" w:hAnsi="Times New Roman"/>
          <w:color w:val="auto"/>
        </w:rPr>
        <w:t xml:space="preserve">Figure </w:t>
      </w:r>
      <w:r w:rsidR="002B44BC" w:rsidRPr="002B44BC">
        <w:rPr>
          <w:rFonts w:ascii="Times New Roman" w:hAnsi="Times New Roman"/>
          <w:noProof/>
          <w:color w:val="auto"/>
        </w:rPr>
        <w:t>1</w:t>
      </w:r>
      <w:r w:rsidR="00BF46F5" w:rsidRPr="00BF46F5">
        <w:rPr>
          <w:rFonts w:ascii="Times New Roman" w:hAnsi="Times New Roman"/>
        </w:rPr>
        <w:fldChar w:fldCharType="end"/>
      </w:r>
      <w:r w:rsidRPr="00BF46F5">
        <w:rPr>
          <w:rFonts w:ascii="Times New Roman" w:hAnsi="Times New Roman"/>
        </w:rPr>
        <w:t>.</w:t>
      </w:r>
    </w:p>
    <w:p w14:paraId="3A2CBA7C" w14:textId="77777777" w:rsidR="004A76A6" w:rsidRDefault="004A76A6" w:rsidP="004A76A6">
      <w:pPr>
        <w:pStyle w:val="BodytextIndented"/>
        <w:ind w:firstLine="0"/>
        <w:rPr>
          <w:rFonts w:ascii="Times New Roman" w:hAnsi="Times New Roman"/>
        </w:rPr>
      </w:pPr>
    </w:p>
    <w:p w14:paraId="217CCA54" w14:textId="77777777" w:rsidR="00BF46F5" w:rsidRDefault="004A76A6" w:rsidP="00BF46F5">
      <w:pPr>
        <w:pStyle w:val="BodyIndent"/>
        <w:keepNext/>
        <w:jc w:val="center"/>
      </w:pPr>
      <w:r>
        <w:rPr>
          <w:rFonts w:ascii="Calibri" w:hAnsi="Calibri" w:cs="Calibri"/>
          <w:noProof/>
        </w:rPr>
        <w:drawing>
          <wp:inline distT="0" distB="0" distL="0" distR="0" wp14:anchorId="66AC39BB" wp14:editId="317CBD59">
            <wp:extent cx="2579427" cy="2232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211" cy="2240541"/>
                    </a:xfrm>
                    <a:prstGeom prst="rect">
                      <a:avLst/>
                    </a:prstGeom>
                    <a:noFill/>
                    <a:ln>
                      <a:noFill/>
                    </a:ln>
                  </pic:spPr>
                </pic:pic>
              </a:graphicData>
            </a:graphic>
          </wp:inline>
        </w:drawing>
      </w:r>
    </w:p>
    <w:p w14:paraId="19070BAB" w14:textId="4A270894" w:rsidR="00D80434" w:rsidRPr="00782179" w:rsidRDefault="00BF46F5" w:rsidP="00782179">
      <w:pPr>
        <w:pStyle w:val="Caption"/>
        <w:jc w:val="center"/>
        <w:rPr>
          <w:rFonts w:ascii="Times New Roman" w:hAnsi="Times New Roman"/>
          <w:i w:val="0"/>
          <w:iCs w:val="0"/>
          <w:color w:val="auto"/>
          <w:sz w:val="22"/>
          <w:szCs w:val="22"/>
        </w:rPr>
      </w:pPr>
      <w:bookmarkStart w:id="0" w:name="_Ref146734506"/>
      <w:r w:rsidRPr="00BF46F5">
        <w:rPr>
          <w:rFonts w:ascii="Times New Roman" w:hAnsi="Times New Roman"/>
          <w:b/>
          <w:bCs/>
          <w:i w:val="0"/>
          <w:iCs w:val="0"/>
          <w:color w:val="auto"/>
          <w:sz w:val="22"/>
          <w:szCs w:val="22"/>
        </w:rPr>
        <w:t xml:space="preserve">Figure </w:t>
      </w:r>
      <w:r w:rsidRPr="00BF46F5">
        <w:rPr>
          <w:rFonts w:ascii="Times New Roman" w:hAnsi="Times New Roman"/>
          <w:b/>
          <w:bCs/>
          <w:i w:val="0"/>
          <w:iCs w:val="0"/>
          <w:color w:val="auto"/>
          <w:sz w:val="22"/>
          <w:szCs w:val="22"/>
        </w:rPr>
        <w:fldChar w:fldCharType="begin"/>
      </w:r>
      <w:r w:rsidRPr="00BF46F5">
        <w:rPr>
          <w:rFonts w:ascii="Times New Roman" w:hAnsi="Times New Roman"/>
          <w:b/>
          <w:bCs/>
          <w:i w:val="0"/>
          <w:iCs w:val="0"/>
          <w:color w:val="auto"/>
          <w:sz w:val="22"/>
          <w:szCs w:val="22"/>
        </w:rPr>
        <w:instrText xml:space="preserve"> SEQ Figure \* ARABIC </w:instrText>
      </w:r>
      <w:r w:rsidRPr="00BF46F5">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1</w:t>
      </w:r>
      <w:r w:rsidRPr="00BF46F5">
        <w:rPr>
          <w:rFonts w:ascii="Times New Roman" w:hAnsi="Times New Roman"/>
          <w:b/>
          <w:bCs/>
          <w:i w:val="0"/>
          <w:iCs w:val="0"/>
          <w:color w:val="auto"/>
          <w:sz w:val="22"/>
          <w:szCs w:val="22"/>
        </w:rPr>
        <w:fldChar w:fldCharType="end"/>
      </w:r>
      <w:bookmarkEnd w:id="0"/>
      <w:r>
        <w:rPr>
          <w:rFonts w:ascii="Times New Roman" w:hAnsi="Times New Roman"/>
          <w:i w:val="0"/>
          <w:iCs w:val="0"/>
          <w:color w:val="auto"/>
          <w:sz w:val="22"/>
          <w:szCs w:val="22"/>
        </w:rPr>
        <w:t xml:space="preserve">. Schematic of the </w:t>
      </w:r>
      <w:r w:rsidR="00CF3AF5">
        <w:rPr>
          <w:rFonts w:ascii="Times New Roman" w:hAnsi="Times New Roman"/>
          <w:i w:val="0"/>
          <w:iCs w:val="0"/>
          <w:color w:val="auto"/>
          <w:sz w:val="22"/>
          <w:szCs w:val="22"/>
        </w:rPr>
        <w:t>microgrid</w:t>
      </w:r>
    </w:p>
    <w:p w14:paraId="36B24D22" w14:textId="2D91C643" w:rsidR="00D80434" w:rsidRDefault="00D80434" w:rsidP="00D80434">
      <w:pPr>
        <w:pStyle w:val="BodyIndent"/>
        <w:rPr>
          <w:rFonts w:ascii="Times New Roman" w:hAnsi="Times New Roman"/>
        </w:rPr>
      </w:pPr>
      <w:r w:rsidRPr="00D80434">
        <w:rPr>
          <w:rFonts w:ascii="Times New Roman" w:hAnsi="Times New Roman"/>
        </w:rPr>
        <w:t xml:space="preserve">The electricity and heating demand profiles for the office building is shown in </w:t>
      </w:r>
      <w:r w:rsidRPr="004D30AB">
        <w:rPr>
          <w:rFonts w:ascii="Times New Roman" w:hAnsi="Times New Roman"/>
        </w:rPr>
        <w:t xml:space="preserve">the </w:t>
      </w:r>
      <w:r w:rsidR="004D30AB" w:rsidRPr="004D30AB">
        <w:rPr>
          <w:rFonts w:ascii="Times New Roman" w:hAnsi="Times New Roman"/>
        </w:rPr>
        <w:fldChar w:fldCharType="begin"/>
      </w:r>
      <w:r w:rsidR="004D30AB" w:rsidRPr="004D30AB">
        <w:rPr>
          <w:rFonts w:ascii="Times New Roman" w:hAnsi="Times New Roman"/>
        </w:rPr>
        <w:instrText xml:space="preserve"> REF _Ref146734594 \h  \* MERGEFORMAT </w:instrText>
      </w:r>
      <w:r w:rsidR="004D30AB" w:rsidRPr="004D30AB">
        <w:rPr>
          <w:rFonts w:ascii="Times New Roman" w:hAnsi="Times New Roman"/>
        </w:rPr>
      </w:r>
      <w:r w:rsidR="004D30AB" w:rsidRPr="004D30AB">
        <w:rPr>
          <w:rFonts w:ascii="Times New Roman" w:hAnsi="Times New Roman"/>
        </w:rPr>
        <w:fldChar w:fldCharType="separate"/>
      </w:r>
      <w:r w:rsidR="002B44BC" w:rsidRPr="002B44BC">
        <w:rPr>
          <w:rFonts w:ascii="Times New Roman" w:hAnsi="Times New Roman" w:cs="Times New Roman"/>
          <w:color w:val="auto"/>
        </w:rPr>
        <w:t xml:space="preserve">Figure </w:t>
      </w:r>
      <w:r w:rsidR="002B44BC" w:rsidRPr="002B44BC">
        <w:rPr>
          <w:rFonts w:ascii="Times New Roman" w:hAnsi="Times New Roman" w:cs="Times New Roman"/>
          <w:noProof/>
          <w:color w:val="auto"/>
        </w:rPr>
        <w:t>2</w:t>
      </w:r>
      <w:r w:rsidR="004D30AB" w:rsidRPr="004D30AB">
        <w:rPr>
          <w:rFonts w:ascii="Times New Roman" w:hAnsi="Times New Roman"/>
        </w:rPr>
        <w:fldChar w:fldCharType="end"/>
      </w:r>
      <w:r w:rsidRPr="00D80434">
        <w:rPr>
          <w:rFonts w:ascii="Times New Roman" w:hAnsi="Times New Roman"/>
        </w:rPr>
        <w:t>.</w:t>
      </w:r>
    </w:p>
    <w:p w14:paraId="295ED696" w14:textId="77777777" w:rsidR="004D30AB" w:rsidRDefault="00D80434" w:rsidP="00B72139">
      <w:pPr>
        <w:pStyle w:val="BodyIndent"/>
        <w:keepNext/>
        <w:jc w:val="center"/>
      </w:pPr>
      <w:r w:rsidRPr="00EF4D91">
        <w:rPr>
          <w:noProof/>
        </w:rPr>
        <w:lastRenderedPageBreak/>
        <w:drawing>
          <wp:inline distT="0" distB="0" distL="0" distR="0" wp14:anchorId="6508539C" wp14:editId="0B7C852E">
            <wp:extent cx="4899704" cy="2599686"/>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908625" cy="2604419"/>
                    </a:xfrm>
                    <a:prstGeom prst="rect">
                      <a:avLst/>
                    </a:prstGeom>
                  </pic:spPr>
                </pic:pic>
              </a:graphicData>
            </a:graphic>
          </wp:inline>
        </w:drawing>
      </w:r>
    </w:p>
    <w:p w14:paraId="595222A7" w14:textId="23B5F1D8" w:rsidR="00500048" w:rsidRPr="004D30AB" w:rsidRDefault="004D30AB" w:rsidP="004D30AB">
      <w:pPr>
        <w:pStyle w:val="Caption"/>
        <w:jc w:val="center"/>
        <w:rPr>
          <w:rFonts w:ascii="Times New Roman" w:hAnsi="Times New Roman"/>
          <w:i w:val="0"/>
          <w:iCs w:val="0"/>
          <w:color w:val="auto"/>
          <w:sz w:val="22"/>
          <w:szCs w:val="22"/>
        </w:rPr>
      </w:pPr>
      <w:bookmarkStart w:id="1" w:name="_Ref146734594"/>
      <w:r w:rsidRPr="004D30AB">
        <w:rPr>
          <w:rFonts w:ascii="Times New Roman" w:hAnsi="Times New Roman"/>
          <w:b/>
          <w:bCs/>
          <w:i w:val="0"/>
          <w:iCs w:val="0"/>
          <w:color w:val="auto"/>
          <w:sz w:val="22"/>
          <w:szCs w:val="22"/>
        </w:rPr>
        <w:t xml:space="preserve">Figure </w:t>
      </w:r>
      <w:r w:rsidRPr="004D30AB">
        <w:rPr>
          <w:rFonts w:ascii="Times New Roman" w:hAnsi="Times New Roman"/>
          <w:b/>
          <w:bCs/>
          <w:i w:val="0"/>
          <w:iCs w:val="0"/>
          <w:color w:val="auto"/>
          <w:sz w:val="22"/>
          <w:szCs w:val="22"/>
        </w:rPr>
        <w:fldChar w:fldCharType="begin"/>
      </w:r>
      <w:r w:rsidRPr="004D30AB">
        <w:rPr>
          <w:rFonts w:ascii="Times New Roman" w:hAnsi="Times New Roman"/>
          <w:b/>
          <w:bCs/>
          <w:i w:val="0"/>
          <w:iCs w:val="0"/>
          <w:color w:val="auto"/>
          <w:sz w:val="22"/>
          <w:szCs w:val="22"/>
        </w:rPr>
        <w:instrText xml:space="preserve"> SEQ Figure \* ARABIC </w:instrText>
      </w:r>
      <w:r w:rsidRPr="004D30AB">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2</w:t>
      </w:r>
      <w:r w:rsidRPr="004D30AB">
        <w:rPr>
          <w:rFonts w:ascii="Times New Roman" w:hAnsi="Times New Roman"/>
          <w:b/>
          <w:bCs/>
          <w:i w:val="0"/>
          <w:iCs w:val="0"/>
          <w:color w:val="auto"/>
          <w:sz w:val="22"/>
          <w:szCs w:val="22"/>
        </w:rPr>
        <w:fldChar w:fldCharType="end"/>
      </w:r>
      <w:bookmarkEnd w:id="1"/>
      <w:r w:rsidRPr="004D30AB">
        <w:rPr>
          <w:rFonts w:ascii="Times New Roman" w:hAnsi="Times New Roman"/>
          <w:i w:val="0"/>
          <w:iCs w:val="0"/>
          <w:color w:val="auto"/>
          <w:sz w:val="22"/>
          <w:szCs w:val="22"/>
        </w:rPr>
        <w:t xml:space="preserve">. Electricity and heating demand for the office building </w:t>
      </w:r>
      <w:r w:rsidRPr="004D30AB">
        <w:rPr>
          <w:rFonts w:ascii="Times New Roman" w:hAnsi="Times New Roman"/>
          <w:i w:val="0"/>
          <w:iCs w:val="0"/>
          <w:color w:val="auto"/>
          <w:sz w:val="22"/>
          <w:szCs w:val="22"/>
          <w:lang w:eastAsia="zh-CN"/>
        </w:rPr>
        <w:t>(24 hours)</w:t>
      </w:r>
    </w:p>
    <w:p w14:paraId="7B730BE4" w14:textId="663EFE69" w:rsidR="00CD1D74" w:rsidRPr="00CD1D74" w:rsidRDefault="00CD1D74" w:rsidP="00574960">
      <w:pPr>
        <w:pStyle w:val="Section"/>
        <w:rPr>
          <w:rFonts w:ascii="Times New Roman" w:hAnsi="Times New Roman"/>
        </w:rPr>
      </w:pPr>
      <w:proofErr w:type="spellStart"/>
      <w:r>
        <w:rPr>
          <w:rFonts w:ascii="Times New Roman" w:hAnsi="Times New Roman"/>
        </w:rPr>
        <w:t>Modeling</w:t>
      </w:r>
      <w:proofErr w:type="spellEnd"/>
      <w:r>
        <w:rPr>
          <w:rFonts w:ascii="Times New Roman" w:hAnsi="Times New Roman"/>
        </w:rPr>
        <w:t xml:space="preserve"> and validation</w:t>
      </w:r>
    </w:p>
    <w:p w14:paraId="5C77BF02" w14:textId="697729C1" w:rsidR="00CD1D74" w:rsidRDefault="00CD1D74" w:rsidP="00574960">
      <w:pPr>
        <w:pStyle w:val="BodyChar"/>
        <w:rPr>
          <w:rFonts w:ascii="Times New Roman" w:hAnsi="Times New Roman"/>
        </w:rPr>
      </w:pPr>
      <w:r w:rsidRPr="00CD1D74">
        <w:rPr>
          <w:rFonts w:ascii="Times New Roman" w:hAnsi="Times New Roman"/>
        </w:rPr>
        <w:t xml:space="preserve">This study employs </w:t>
      </w:r>
      <w:proofErr w:type="spellStart"/>
      <w:r w:rsidRPr="00CD1D74">
        <w:rPr>
          <w:rFonts w:ascii="Times New Roman" w:hAnsi="Times New Roman"/>
        </w:rPr>
        <w:t>Modelica</w:t>
      </w:r>
      <w:proofErr w:type="spellEnd"/>
      <w:r w:rsidRPr="00CD1D74">
        <w:rPr>
          <w:rFonts w:ascii="Times New Roman" w:hAnsi="Times New Roman"/>
        </w:rPr>
        <w:t xml:space="preserve">, an equation-based object-oriented language, to </w:t>
      </w:r>
      <w:proofErr w:type="spellStart"/>
      <w:r w:rsidRPr="00CD1D74">
        <w:rPr>
          <w:rFonts w:ascii="Times New Roman" w:hAnsi="Times New Roman"/>
        </w:rPr>
        <w:t>analyze</w:t>
      </w:r>
      <w:proofErr w:type="spellEnd"/>
      <w:r w:rsidRPr="00CD1D74">
        <w:rPr>
          <w:rFonts w:ascii="Times New Roman" w:hAnsi="Times New Roman"/>
        </w:rPr>
        <w:t xml:space="preserve"> the dynamic performance of the microgrid. The global </w:t>
      </w:r>
      <w:proofErr w:type="spellStart"/>
      <w:r w:rsidRPr="00CD1D74">
        <w:rPr>
          <w:rFonts w:ascii="Times New Roman" w:hAnsi="Times New Roman"/>
        </w:rPr>
        <w:t>Modelica</w:t>
      </w:r>
      <w:proofErr w:type="spellEnd"/>
      <w:r w:rsidRPr="00CD1D74">
        <w:rPr>
          <w:rFonts w:ascii="Times New Roman" w:hAnsi="Times New Roman"/>
        </w:rPr>
        <w:t xml:space="preserve"> community has made significant contributions by developing well-established open-source packages tailored for </w:t>
      </w:r>
      <w:proofErr w:type="spellStart"/>
      <w:r w:rsidRPr="00CD1D74">
        <w:rPr>
          <w:rFonts w:ascii="Times New Roman" w:hAnsi="Times New Roman"/>
        </w:rPr>
        <w:t>modeling</w:t>
      </w:r>
      <w:proofErr w:type="spellEnd"/>
      <w:r w:rsidRPr="00CD1D74">
        <w:rPr>
          <w:rFonts w:ascii="Times New Roman" w:hAnsi="Times New Roman"/>
        </w:rPr>
        <w:t xml:space="preserve"> and simulating microgrids and building energy systems. Some notable packages include IDEAS</w:t>
      </w:r>
      <w:r w:rsidR="008C3387">
        <w:rPr>
          <w:rFonts w:ascii="Times New Roman" w:hAnsi="Times New Roman"/>
        </w:rPr>
        <w:t xml:space="preserve"> [</w:t>
      </w:r>
      <w:r w:rsidR="00D60255">
        <w:rPr>
          <w:rFonts w:ascii="Times New Roman" w:hAnsi="Times New Roman"/>
        </w:rPr>
        <w:t>6</w:t>
      </w:r>
      <w:r w:rsidR="008C3387">
        <w:rPr>
          <w:rFonts w:ascii="Times New Roman" w:hAnsi="Times New Roman"/>
        </w:rPr>
        <w:t>]</w:t>
      </w:r>
      <w:r w:rsidRPr="00CD1D74">
        <w:rPr>
          <w:rFonts w:ascii="Times New Roman" w:hAnsi="Times New Roman"/>
        </w:rPr>
        <w:t>, Buildings</w:t>
      </w:r>
      <w:r w:rsidR="008C3387">
        <w:rPr>
          <w:rFonts w:ascii="Times New Roman" w:hAnsi="Times New Roman"/>
        </w:rPr>
        <w:t xml:space="preserve"> [</w:t>
      </w:r>
      <w:r w:rsidR="00D60255">
        <w:rPr>
          <w:rFonts w:ascii="Times New Roman" w:hAnsi="Times New Roman"/>
        </w:rPr>
        <w:t>7</w:t>
      </w:r>
      <w:r w:rsidR="008C3387">
        <w:rPr>
          <w:rFonts w:ascii="Times New Roman" w:hAnsi="Times New Roman"/>
        </w:rPr>
        <w:t>]</w:t>
      </w:r>
      <w:r w:rsidRPr="00CD1D74">
        <w:rPr>
          <w:rFonts w:ascii="Times New Roman" w:hAnsi="Times New Roman"/>
        </w:rPr>
        <w:t xml:space="preserve">, </w:t>
      </w:r>
      <w:proofErr w:type="spellStart"/>
      <w:r w:rsidRPr="00CD1D74">
        <w:rPr>
          <w:rFonts w:ascii="Times New Roman" w:hAnsi="Times New Roman"/>
        </w:rPr>
        <w:t>AixLib</w:t>
      </w:r>
      <w:proofErr w:type="spellEnd"/>
      <w:r w:rsidR="008C3387">
        <w:rPr>
          <w:rFonts w:ascii="Times New Roman" w:hAnsi="Times New Roman"/>
        </w:rPr>
        <w:t xml:space="preserve"> [</w:t>
      </w:r>
      <w:r w:rsidR="00C07E62">
        <w:rPr>
          <w:rFonts w:ascii="Times New Roman" w:hAnsi="Times New Roman"/>
        </w:rPr>
        <w:t>8</w:t>
      </w:r>
      <w:r w:rsidR="008C3387">
        <w:rPr>
          <w:rFonts w:ascii="Times New Roman" w:hAnsi="Times New Roman"/>
        </w:rPr>
        <w:t>]</w:t>
      </w:r>
      <w:r w:rsidRPr="00CD1D74">
        <w:rPr>
          <w:rFonts w:ascii="Times New Roman" w:hAnsi="Times New Roman"/>
        </w:rPr>
        <w:t xml:space="preserve">, and </w:t>
      </w:r>
      <w:proofErr w:type="spellStart"/>
      <w:r w:rsidRPr="00CD1D74">
        <w:rPr>
          <w:rFonts w:ascii="Times New Roman" w:hAnsi="Times New Roman"/>
        </w:rPr>
        <w:t>BuildingSystems</w:t>
      </w:r>
      <w:proofErr w:type="spellEnd"/>
      <w:r w:rsidRPr="00CD1D74">
        <w:rPr>
          <w:rFonts w:ascii="Times New Roman" w:hAnsi="Times New Roman"/>
        </w:rPr>
        <w:t xml:space="preserve"> [</w:t>
      </w:r>
      <w:r w:rsidR="00C07E62">
        <w:rPr>
          <w:rFonts w:ascii="Times New Roman" w:hAnsi="Times New Roman"/>
        </w:rPr>
        <w:t>9</w:t>
      </w:r>
      <w:r w:rsidRPr="00CD1D74">
        <w:rPr>
          <w:rFonts w:ascii="Times New Roman" w:hAnsi="Times New Roman"/>
        </w:rPr>
        <w:t>].</w:t>
      </w:r>
    </w:p>
    <w:p w14:paraId="215B6154" w14:textId="45ACF788" w:rsidR="00CD1D74" w:rsidRPr="00CD1D74" w:rsidRDefault="00CD1D74" w:rsidP="00574960">
      <w:pPr>
        <w:pStyle w:val="Heading2"/>
        <w:rPr>
          <w:rFonts w:ascii="Times New Roman" w:hAnsi="Times New Roman"/>
        </w:rPr>
      </w:pPr>
      <w:r>
        <w:rPr>
          <w:rFonts w:ascii="Times New Roman" w:hAnsi="Times New Roman"/>
        </w:rPr>
        <w:t>Micro gas turbine</w:t>
      </w:r>
    </w:p>
    <w:p w14:paraId="3FB66490" w14:textId="49E8E8EC" w:rsidR="00E41D69" w:rsidRPr="00F66A92" w:rsidRDefault="00FD05B0" w:rsidP="00E41D69">
      <w:pPr>
        <w:pStyle w:val="BodyChar"/>
        <w:rPr>
          <w:rFonts w:ascii="Times New Roman" w:hAnsi="Times New Roman"/>
          <w:color w:val="000000" w:themeColor="text1"/>
        </w:rPr>
      </w:pPr>
      <w:r w:rsidRPr="00F66A92">
        <w:rPr>
          <w:rFonts w:ascii="Times New Roman" w:hAnsi="Times New Roman"/>
          <w:color w:val="000000" w:themeColor="text1"/>
        </w:rPr>
        <w:t xml:space="preserve">Assessing the off-design performance of MGT involves the use of detailed thermodynamic models, which have been extensively developed to </w:t>
      </w:r>
      <w:proofErr w:type="spellStart"/>
      <w:r w:rsidRPr="00F66A92">
        <w:rPr>
          <w:rFonts w:ascii="Times New Roman" w:hAnsi="Times New Roman"/>
          <w:color w:val="000000" w:themeColor="text1"/>
        </w:rPr>
        <w:t>analyze</w:t>
      </w:r>
      <w:proofErr w:type="spellEnd"/>
      <w:r w:rsidRPr="00F66A92">
        <w:rPr>
          <w:rFonts w:ascii="Times New Roman" w:hAnsi="Times New Roman"/>
          <w:color w:val="000000" w:themeColor="text1"/>
        </w:rPr>
        <w:t xml:space="preserve"> the influence of changing operational and environmental conditions. However, these detailed models come with a high computational load, making them impractical for operational optimization. Hence, this study introduces a data-driven model for MGT based on the real-world operation data, which can provide fast computational speed and accurate prediction. </w:t>
      </w:r>
      <w:r w:rsidR="00CD1D74" w:rsidRPr="00F66A92">
        <w:rPr>
          <w:rFonts w:ascii="Times New Roman" w:hAnsi="Times New Roman"/>
          <w:color w:val="000000" w:themeColor="text1"/>
        </w:rPr>
        <w:t xml:space="preserve">Inspired by the brain, an ANN models complex data relationships through weight and bias adjustments. </w:t>
      </w:r>
      <w:r w:rsidR="000A1914" w:rsidRPr="00F66A92">
        <w:rPr>
          <w:rFonts w:ascii="Times New Roman" w:hAnsi="Times New Roman"/>
          <w:color w:val="000000" w:themeColor="text1"/>
        </w:rPr>
        <w:t xml:space="preserve">The </w:t>
      </w:r>
      <w:r w:rsidR="00CD1D74" w:rsidRPr="00F66A92">
        <w:rPr>
          <w:rFonts w:ascii="Times New Roman" w:hAnsi="Times New Roman"/>
          <w:color w:val="000000" w:themeColor="text1"/>
        </w:rPr>
        <w:t xml:space="preserve">FFNN, one of the most common types of ANN, processes data unidirectionally from input to output layers. In this study, FFNN is utilized for </w:t>
      </w:r>
      <w:proofErr w:type="spellStart"/>
      <w:r w:rsidR="00CD1D74" w:rsidRPr="00F66A92">
        <w:rPr>
          <w:rFonts w:ascii="Times New Roman" w:hAnsi="Times New Roman"/>
          <w:color w:val="000000" w:themeColor="text1"/>
        </w:rPr>
        <w:t>modeling</w:t>
      </w:r>
      <w:proofErr w:type="spellEnd"/>
      <w:r w:rsidR="00CD1D74" w:rsidRPr="00F66A92">
        <w:rPr>
          <w:rFonts w:ascii="Times New Roman" w:hAnsi="Times New Roman"/>
          <w:color w:val="000000" w:themeColor="text1"/>
        </w:rPr>
        <w:t xml:space="preserve"> a MGT incorporating 4 inputs (ambient temperature, ambient pressure, air humidity, and power demand) and 2 outputs (fuel consumption and waste gas temperature). </w:t>
      </w:r>
      <w:r w:rsidR="00E41D69" w:rsidRPr="00F66A92">
        <w:rPr>
          <w:rFonts w:ascii="Times New Roman" w:hAnsi="Times New Roman"/>
          <w:color w:val="000000" w:themeColor="text1"/>
        </w:rPr>
        <w:t xml:space="preserve">Optimizing internal model parameters, often referred to as hyperparameters, is a crucial aspect of developing effective ANN model.  This encompasses parameters like the learning rate, the architectural aspects such as the hidden layer count, neuron number within each layer, as well as the activation functions and optimizer. These hyperparameters are of paramount importance in shaping the model's capacity to acquire knowledge from training data effectively and generalize this knowledge for accurate predictive outcomes. In this study, </w:t>
      </w:r>
      <w:r w:rsidR="00E41D69" w:rsidRPr="00F66A92">
        <w:rPr>
          <w:rFonts w:ascii="Times New Roman" w:hAnsi="Times New Roman"/>
          <w:color w:val="000000" w:themeColor="text1"/>
          <w:highlight w:val="yellow"/>
        </w:rPr>
        <w:fldChar w:fldCharType="begin"/>
      </w:r>
      <w:r w:rsidR="00E41D69" w:rsidRPr="00F66A92">
        <w:rPr>
          <w:rFonts w:ascii="Times New Roman" w:hAnsi="Times New Roman"/>
          <w:color w:val="000000" w:themeColor="text1"/>
        </w:rPr>
        <w:instrText xml:space="preserve"> REF _Ref148605659 \h </w:instrText>
      </w:r>
      <w:r w:rsidR="00E41D69" w:rsidRPr="00F66A92">
        <w:rPr>
          <w:rFonts w:ascii="Times New Roman" w:hAnsi="Times New Roman"/>
          <w:color w:val="000000" w:themeColor="text1"/>
          <w:highlight w:val="yellow"/>
        </w:rPr>
        <w:instrText xml:space="preserve"> \* MERGEFORMAT </w:instrText>
      </w:r>
      <w:r w:rsidR="00E41D69" w:rsidRPr="00F66A92">
        <w:rPr>
          <w:rFonts w:ascii="Times New Roman" w:hAnsi="Times New Roman"/>
          <w:color w:val="000000" w:themeColor="text1"/>
          <w:highlight w:val="yellow"/>
        </w:rPr>
      </w:r>
      <w:r w:rsidR="00E41D69" w:rsidRPr="00F66A92">
        <w:rPr>
          <w:rFonts w:ascii="Times New Roman" w:hAnsi="Times New Roman"/>
          <w:color w:val="000000" w:themeColor="text1"/>
          <w:highlight w:val="yellow"/>
        </w:rPr>
        <w:fldChar w:fldCharType="separate"/>
      </w:r>
      <w:r w:rsidR="002B44BC" w:rsidRPr="00F66A92">
        <w:rPr>
          <w:rFonts w:ascii="Times New Roman" w:hAnsi="Times New Roman"/>
          <w:color w:val="000000" w:themeColor="text1"/>
        </w:rPr>
        <w:t>Table 1</w:t>
      </w:r>
      <w:r w:rsidR="00E41D69" w:rsidRPr="00F66A92">
        <w:rPr>
          <w:rFonts w:ascii="Times New Roman" w:hAnsi="Times New Roman"/>
          <w:color w:val="000000" w:themeColor="text1"/>
          <w:highlight w:val="yellow"/>
        </w:rPr>
        <w:fldChar w:fldCharType="end"/>
      </w:r>
      <w:r w:rsidR="00E41D69" w:rsidRPr="00F66A92">
        <w:rPr>
          <w:rFonts w:ascii="Times New Roman" w:hAnsi="Times New Roman"/>
          <w:color w:val="000000" w:themeColor="text1"/>
        </w:rPr>
        <w:t xml:space="preserve"> presents an overview of the hyperparameters and their respective ranges. </w:t>
      </w:r>
    </w:p>
    <w:p w14:paraId="6E7A7863" w14:textId="33B0FFA1" w:rsidR="00E41D69" w:rsidRPr="00E41D69" w:rsidRDefault="00E41D69" w:rsidP="00E41D69">
      <w:pPr>
        <w:pStyle w:val="Caption"/>
        <w:keepNext/>
        <w:jc w:val="center"/>
        <w:rPr>
          <w:rFonts w:ascii="Times New Roman" w:hAnsi="Times New Roman"/>
          <w:b/>
          <w:bCs/>
          <w:i w:val="0"/>
          <w:iCs w:val="0"/>
          <w:color w:val="auto"/>
          <w:sz w:val="22"/>
          <w:szCs w:val="22"/>
        </w:rPr>
      </w:pPr>
      <w:bookmarkStart w:id="2" w:name="_Ref148605659"/>
      <w:r w:rsidRPr="00E41D69">
        <w:rPr>
          <w:rFonts w:ascii="Times New Roman" w:hAnsi="Times New Roman"/>
          <w:b/>
          <w:bCs/>
          <w:i w:val="0"/>
          <w:iCs w:val="0"/>
          <w:color w:val="auto"/>
          <w:sz w:val="22"/>
          <w:szCs w:val="22"/>
        </w:rPr>
        <w:t xml:space="preserve">Table </w:t>
      </w:r>
      <w:r w:rsidRPr="00E41D69">
        <w:rPr>
          <w:rFonts w:ascii="Times New Roman" w:hAnsi="Times New Roman"/>
          <w:b/>
          <w:bCs/>
          <w:i w:val="0"/>
          <w:iCs w:val="0"/>
          <w:color w:val="auto"/>
          <w:sz w:val="22"/>
          <w:szCs w:val="22"/>
        </w:rPr>
        <w:fldChar w:fldCharType="begin"/>
      </w:r>
      <w:r w:rsidRPr="00E41D69">
        <w:rPr>
          <w:rFonts w:ascii="Times New Roman" w:hAnsi="Times New Roman"/>
          <w:b/>
          <w:bCs/>
          <w:i w:val="0"/>
          <w:iCs w:val="0"/>
          <w:color w:val="auto"/>
          <w:sz w:val="22"/>
          <w:szCs w:val="22"/>
        </w:rPr>
        <w:instrText xml:space="preserve"> SEQ Table \* ARABIC </w:instrText>
      </w:r>
      <w:r w:rsidRPr="00E41D69">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1</w:t>
      </w:r>
      <w:r w:rsidRPr="00E41D69">
        <w:rPr>
          <w:rFonts w:ascii="Times New Roman" w:hAnsi="Times New Roman"/>
          <w:b/>
          <w:bCs/>
          <w:i w:val="0"/>
          <w:iCs w:val="0"/>
          <w:color w:val="auto"/>
          <w:sz w:val="22"/>
          <w:szCs w:val="22"/>
        </w:rPr>
        <w:fldChar w:fldCharType="end"/>
      </w:r>
      <w:bookmarkEnd w:id="2"/>
      <w:r w:rsidRPr="00E41D69">
        <w:rPr>
          <w:rFonts w:ascii="Times New Roman" w:hAnsi="Times New Roman"/>
          <w:b/>
          <w:bCs/>
          <w:i w:val="0"/>
          <w:iCs w:val="0"/>
          <w:color w:val="auto"/>
          <w:sz w:val="22"/>
          <w:szCs w:val="22"/>
        </w:rPr>
        <w:t xml:space="preserve">: </w:t>
      </w:r>
      <w:r w:rsidRPr="00E41D69">
        <w:rPr>
          <w:rFonts w:ascii="Times New Roman" w:hAnsi="Times New Roman"/>
          <w:i w:val="0"/>
          <w:iCs w:val="0"/>
          <w:color w:val="auto"/>
          <w:sz w:val="22"/>
          <w:szCs w:val="22"/>
        </w:rPr>
        <w:t>Hyperparameter and range</w:t>
      </w:r>
    </w:p>
    <w:tbl>
      <w:tblPr>
        <w:tblStyle w:val="PlainTable2"/>
        <w:tblW w:w="0" w:type="auto"/>
        <w:jc w:val="center"/>
        <w:tblLook w:val="04A0" w:firstRow="1" w:lastRow="0" w:firstColumn="1" w:lastColumn="0" w:noHBand="0" w:noVBand="1"/>
      </w:tblPr>
      <w:tblGrid>
        <w:gridCol w:w="2849"/>
        <w:gridCol w:w="2553"/>
      </w:tblGrid>
      <w:tr w:rsidR="00E41D69" w14:paraId="23FC53B1" w14:textId="77777777" w:rsidTr="00A76E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6C1A5B0" w14:textId="77777777" w:rsidR="00E41D69" w:rsidRDefault="00E41D69" w:rsidP="00A76E14">
            <w:pPr>
              <w:jc w:val="center"/>
              <w:rPr>
                <w:rFonts w:ascii="Calibri" w:hAnsi="Calibri" w:cs="Calibri"/>
              </w:rPr>
            </w:pPr>
            <w:r>
              <w:rPr>
                <w:rFonts w:ascii="Calibri" w:hAnsi="Calibri" w:cs="Calibri"/>
              </w:rPr>
              <w:t>Hyperparameter</w:t>
            </w:r>
          </w:p>
        </w:tc>
        <w:tc>
          <w:tcPr>
            <w:tcW w:w="0" w:type="auto"/>
          </w:tcPr>
          <w:p w14:paraId="4DFDFDBE" w14:textId="77777777" w:rsidR="00E41D69" w:rsidRDefault="00E41D69" w:rsidP="00A76E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Range</w:t>
            </w:r>
          </w:p>
        </w:tc>
      </w:tr>
      <w:tr w:rsidR="00E41D69" w14:paraId="64D1AF65" w14:textId="77777777" w:rsidTr="00A76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22375D5" w14:textId="77777777" w:rsidR="00E41D69" w:rsidRDefault="00E41D69" w:rsidP="00A76E14">
            <w:pPr>
              <w:jc w:val="center"/>
              <w:rPr>
                <w:rFonts w:ascii="Calibri" w:hAnsi="Calibri" w:cs="Calibri"/>
              </w:rPr>
            </w:pPr>
            <w:r>
              <w:rPr>
                <w:rFonts w:ascii="Calibri" w:hAnsi="Calibri" w:cs="Calibri"/>
              </w:rPr>
              <w:t>Neurons in the hidden layers</w:t>
            </w:r>
          </w:p>
        </w:tc>
        <w:tc>
          <w:tcPr>
            <w:tcW w:w="0" w:type="auto"/>
          </w:tcPr>
          <w:p w14:paraId="456C3FA0" w14:textId="77777777" w:rsidR="00E41D69" w:rsidRDefault="00E41D69" w:rsidP="00A76E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[8 – 128]</w:t>
            </w:r>
          </w:p>
        </w:tc>
      </w:tr>
      <w:tr w:rsidR="00E41D69" w14:paraId="39B021F2" w14:textId="77777777" w:rsidTr="00A76E1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B42A076" w14:textId="77777777" w:rsidR="00E41D69" w:rsidRDefault="00E41D69" w:rsidP="00A76E14">
            <w:pPr>
              <w:jc w:val="center"/>
              <w:rPr>
                <w:rFonts w:ascii="Calibri" w:hAnsi="Calibri" w:cs="Calibri"/>
              </w:rPr>
            </w:pPr>
            <w:r>
              <w:rPr>
                <w:rFonts w:ascii="Calibri" w:hAnsi="Calibri" w:cs="Calibri"/>
              </w:rPr>
              <w:t>Number of hidden layers</w:t>
            </w:r>
          </w:p>
        </w:tc>
        <w:tc>
          <w:tcPr>
            <w:tcW w:w="0" w:type="auto"/>
          </w:tcPr>
          <w:p w14:paraId="2612C8DA" w14:textId="77777777" w:rsidR="00E41D69" w:rsidRDefault="00E41D69" w:rsidP="00A76E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 – 4]</w:t>
            </w:r>
          </w:p>
        </w:tc>
      </w:tr>
      <w:tr w:rsidR="00E41D69" w14:paraId="3C19C6C4" w14:textId="77777777" w:rsidTr="00A76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131715" w14:textId="77777777" w:rsidR="00E41D69" w:rsidRPr="00E86566" w:rsidRDefault="00E41D69" w:rsidP="00A76E14">
            <w:pPr>
              <w:jc w:val="center"/>
              <w:rPr>
                <w:rFonts w:ascii="Calibri" w:hAnsi="Calibri" w:cs="Calibri"/>
              </w:rPr>
            </w:pPr>
            <w:r w:rsidRPr="00E86566">
              <w:rPr>
                <w:rFonts w:ascii="Calibri" w:hAnsi="Calibri" w:cs="Calibri"/>
              </w:rPr>
              <w:t xml:space="preserve">Activation </w:t>
            </w:r>
            <w:r>
              <w:rPr>
                <w:rFonts w:ascii="Calibri" w:hAnsi="Calibri" w:cs="Calibri"/>
              </w:rPr>
              <w:t>f</w:t>
            </w:r>
            <w:r w:rsidRPr="00E86566">
              <w:rPr>
                <w:rFonts w:ascii="Calibri" w:hAnsi="Calibri" w:cs="Calibri"/>
              </w:rPr>
              <w:t>unction</w:t>
            </w:r>
          </w:p>
        </w:tc>
        <w:tc>
          <w:tcPr>
            <w:tcW w:w="0" w:type="auto"/>
          </w:tcPr>
          <w:p w14:paraId="3869561F" w14:textId="77777777" w:rsidR="00E41D69" w:rsidRDefault="00E41D69" w:rsidP="00A76E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w:t>
            </w:r>
            <w:proofErr w:type="spellStart"/>
            <w:r>
              <w:rPr>
                <w:rFonts w:ascii="Calibri" w:hAnsi="Calibri" w:cs="Calibri"/>
              </w:rPr>
              <w:t>Relu</w:t>
            </w:r>
            <w:proofErr w:type="spellEnd"/>
            <w:r>
              <w:rPr>
                <w:rFonts w:ascii="Calibri" w:hAnsi="Calibri" w:cs="Calibri"/>
              </w:rPr>
              <w:t>, Elu]</w:t>
            </w:r>
          </w:p>
        </w:tc>
      </w:tr>
      <w:tr w:rsidR="00E41D69" w14:paraId="5C4CA743" w14:textId="77777777" w:rsidTr="00A76E1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3EB2F6F" w14:textId="77777777" w:rsidR="00E41D69" w:rsidRDefault="00E41D69" w:rsidP="00A76E14">
            <w:pPr>
              <w:jc w:val="center"/>
              <w:rPr>
                <w:rFonts w:ascii="Calibri" w:hAnsi="Calibri" w:cs="Calibri"/>
              </w:rPr>
            </w:pPr>
            <w:r>
              <w:rPr>
                <w:rFonts w:ascii="Calibri" w:hAnsi="Calibri" w:cs="Calibri"/>
              </w:rPr>
              <w:t>Optimizer</w:t>
            </w:r>
          </w:p>
        </w:tc>
        <w:tc>
          <w:tcPr>
            <w:tcW w:w="0" w:type="auto"/>
          </w:tcPr>
          <w:p w14:paraId="3087942F" w14:textId="77777777" w:rsidR="00E41D69" w:rsidRDefault="00E41D69" w:rsidP="00A76E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proofErr w:type="spellStart"/>
            <w:r>
              <w:rPr>
                <w:rFonts w:ascii="Calibri" w:hAnsi="Calibri" w:cs="Calibri"/>
              </w:rPr>
              <w:t>AdaGrad</w:t>
            </w:r>
            <w:proofErr w:type="spellEnd"/>
            <w:r>
              <w:rPr>
                <w:rFonts w:ascii="Calibri" w:hAnsi="Calibri" w:cs="Calibri"/>
              </w:rPr>
              <w:t>, RMSprop, SGD]</w:t>
            </w:r>
          </w:p>
        </w:tc>
      </w:tr>
      <w:tr w:rsidR="00E41D69" w14:paraId="6FF273B5" w14:textId="77777777" w:rsidTr="00A76E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3B9AD87" w14:textId="77777777" w:rsidR="00E41D69" w:rsidRPr="00E86566" w:rsidRDefault="00E41D69" w:rsidP="00A76E14">
            <w:pPr>
              <w:jc w:val="center"/>
              <w:rPr>
                <w:rFonts w:ascii="Calibri" w:hAnsi="Calibri" w:cs="Calibri"/>
              </w:rPr>
            </w:pPr>
            <w:r>
              <w:rPr>
                <w:rFonts w:ascii="Calibri" w:hAnsi="Calibri" w:cs="Calibri"/>
              </w:rPr>
              <w:t>Learning rate</w:t>
            </w:r>
          </w:p>
        </w:tc>
        <w:tc>
          <w:tcPr>
            <w:tcW w:w="0" w:type="auto"/>
          </w:tcPr>
          <w:p w14:paraId="0542D502" w14:textId="77777777" w:rsidR="00E41D69" w:rsidRDefault="00E41D69" w:rsidP="00A76E1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[1e-4, 1e-3, 0.01, 0.1]</w:t>
            </w:r>
          </w:p>
        </w:tc>
      </w:tr>
    </w:tbl>
    <w:p w14:paraId="181F6064" w14:textId="77777777" w:rsidR="00E41D69" w:rsidRDefault="00E41D69" w:rsidP="00574960">
      <w:pPr>
        <w:pStyle w:val="BodyChar"/>
        <w:rPr>
          <w:rFonts w:ascii="Times New Roman" w:hAnsi="Times New Roman"/>
          <w:color w:val="7030A0"/>
        </w:rPr>
      </w:pPr>
    </w:p>
    <w:p w14:paraId="670DCBDD" w14:textId="2A22FD2A" w:rsidR="00E41D69" w:rsidRPr="00F66A92" w:rsidRDefault="00E41D69" w:rsidP="00574960">
      <w:pPr>
        <w:pStyle w:val="BodyChar"/>
        <w:rPr>
          <w:rFonts w:ascii="Times New Roman" w:hAnsi="Times New Roman"/>
          <w:color w:val="000000" w:themeColor="text1"/>
        </w:rPr>
      </w:pPr>
      <w:r w:rsidRPr="00F66A92">
        <w:rPr>
          <w:rFonts w:ascii="Times New Roman" w:hAnsi="Times New Roman"/>
          <w:color w:val="000000" w:themeColor="text1"/>
        </w:rPr>
        <w:lastRenderedPageBreak/>
        <w:t xml:space="preserve">The search for optimal hyperparameters is conducted via Bayesian optimization, with the results presented in </w:t>
      </w:r>
      <w:r w:rsidRPr="00F66A92">
        <w:rPr>
          <w:rFonts w:ascii="Times New Roman" w:hAnsi="Times New Roman"/>
          <w:color w:val="000000" w:themeColor="text1"/>
        </w:rPr>
        <w:fldChar w:fldCharType="begin"/>
      </w:r>
      <w:r w:rsidRPr="00F66A92">
        <w:rPr>
          <w:rFonts w:ascii="Times New Roman" w:hAnsi="Times New Roman"/>
          <w:color w:val="000000" w:themeColor="text1"/>
        </w:rPr>
        <w:instrText xml:space="preserve"> REF _Ref146734734 \h  \* MERGEFORMAT </w:instrText>
      </w:r>
      <w:r w:rsidRPr="00F66A92">
        <w:rPr>
          <w:rFonts w:ascii="Times New Roman" w:hAnsi="Times New Roman"/>
          <w:color w:val="000000" w:themeColor="text1"/>
        </w:rPr>
      </w:r>
      <w:r w:rsidRPr="00F66A92">
        <w:rPr>
          <w:rFonts w:ascii="Times New Roman" w:hAnsi="Times New Roman"/>
          <w:color w:val="000000" w:themeColor="text1"/>
        </w:rPr>
        <w:fldChar w:fldCharType="separate"/>
      </w:r>
      <w:r w:rsidR="002B44BC" w:rsidRPr="00F66A92">
        <w:rPr>
          <w:color w:val="000000" w:themeColor="text1"/>
        </w:rPr>
        <w:t xml:space="preserve">Table </w:t>
      </w:r>
      <w:r w:rsidR="002B44BC" w:rsidRPr="00F66A92">
        <w:rPr>
          <w:noProof/>
          <w:color w:val="000000" w:themeColor="text1"/>
        </w:rPr>
        <w:t>2</w:t>
      </w:r>
      <w:r w:rsidRPr="00F66A92">
        <w:rPr>
          <w:rFonts w:ascii="Times New Roman" w:hAnsi="Times New Roman"/>
          <w:color w:val="000000" w:themeColor="text1"/>
        </w:rPr>
        <w:fldChar w:fldCharType="end"/>
      </w:r>
      <w:r w:rsidRPr="00F66A92">
        <w:rPr>
          <w:rFonts w:ascii="Times New Roman" w:hAnsi="Times New Roman"/>
          <w:color w:val="000000" w:themeColor="text1"/>
        </w:rPr>
        <w:t>.</w:t>
      </w:r>
    </w:p>
    <w:p w14:paraId="29B5BCAA" w14:textId="18412E0D" w:rsidR="00CF3AF5" w:rsidRPr="00750828" w:rsidRDefault="00CF3AF5" w:rsidP="00CF3AF5">
      <w:pPr>
        <w:pStyle w:val="Caption"/>
        <w:keepNext/>
        <w:jc w:val="center"/>
        <w:rPr>
          <w:rFonts w:ascii="Times New Roman" w:hAnsi="Times New Roman"/>
          <w:i w:val="0"/>
          <w:iCs w:val="0"/>
          <w:color w:val="auto"/>
          <w:sz w:val="22"/>
          <w:szCs w:val="22"/>
        </w:rPr>
      </w:pPr>
      <w:bookmarkStart w:id="3" w:name="_Ref146734734"/>
      <w:r w:rsidRPr="00750828">
        <w:rPr>
          <w:rFonts w:ascii="Times New Roman" w:hAnsi="Times New Roman"/>
          <w:b/>
          <w:bCs/>
          <w:i w:val="0"/>
          <w:iCs w:val="0"/>
          <w:color w:val="auto"/>
          <w:sz w:val="22"/>
          <w:szCs w:val="22"/>
        </w:rPr>
        <w:t xml:space="preserve">Table </w:t>
      </w:r>
      <w:r w:rsidRPr="00750828">
        <w:rPr>
          <w:rFonts w:ascii="Times New Roman" w:hAnsi="Times New Roman"/>
          <w:b/>
          <w:bCs/>
          <w:i w:val="0"/>
          <w:iCs w:val="0"/>
          <w:color w:val="auto"/>
          <w:sz w:val="22"/>
          <w:szCs w:val="22"/>
        </w:rPr>
        <w:fldChar w:fldCharType="begin"/>
      </w:r>
      <w:r w:rsidRPr="00750828">
        <w:rPr>
          <w:rFonts w:ascii="Times New Roman" w:hAnsi="Times New Roman"/>
          <w:b/>
          <w:bCs/>
          <w:i w:val="0"/>
          <w:iCs w:val="0"/>
          <w:color w:val="auto"/>
          <w:sz w:val="22"/>
          <w:szCs w:val="22"/>
        </w:rPr>
        <w:instrText xml:space="preserve"> SEQ Table \* ARABIC </w:instrText>
      </w:r>
      <w:r w:rsidRPr="00750828">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2</w:t>
      </w:r>
      <w:r w:rsidRPr="00750828">
        <w:rPr>
          <w:rFonts w:ascii="Times New Roman" w:hAnsi="Times New Roman"/>
          <w:b/>
          <w:bCs/>
          <w:i w:val="0"/>
          <w:iCs w:val="0"/>
          <w:color w:val="auto"/>
          <w:sz w:val="22"/>
          <w:szCs w:val="22"/>
        </w:rPr>
        <w:fldChar w:fldCharType="end"/>
      </w:r>
      <w:bookmarkEnd w:id="3"/>
      <w:r w:rsidRPr="00750828">
        <w:rPr>
          <w:rFonts w:ascii="Times New Roman" w:hAnsi="Times New Roman"/>
          <w:i w:val="0"/>
          <w:iCs w:val="0"/>
          <w:color w:val="auto"/>
          <w:sz w:val="22"/>
          <w:szCs w:val="22"/>
        </w:rPr>
        <w:t>. Parameter of ANN model for MGT</w:t>
      </w:r>
    </w:p>
    <w:tbl>
      <w:tblPr>
        <w:tblStyle w:val="PlainTable2"/>
        <w:tblW w:w="0" w:type="auto"/>
        <w:jc w:val="center"/>
        <w:tblLook w:val="04A0" w:firstRow="1" w:lastRow="0" w:firstColumn="1" w:lastColumn="0" w:noHBand="0" w:noVBand="1"/>
      </w:tblPr>
      <w:tblGrid>
        <w:gridCol w:w="3593"/>
        <w:gridCol w:w="2014"/>
      </w:tblGrid>
      <w:tr w:rsidR="00CD1D74" w14:paraId="7E0439DE" w14:textId="77777777" w:rsidTr="000A5D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A3167C9" w14:textId="77777777" w:rsidR="00CD1D74" w:rsidRDefault="00CD1D74" w:rsidP="00202C99">
            <w:pPr>
              <w:jc w:val="center"/>
              <w:rPr>
                <w:rFonts w:ascii="Calibri" w:hAnsi="Calibri" w:cs="Calibri"/>
              </w:rPr>
            </w:pPr>
            <w:r>
              <w:rPr>
                <w:rFonts w:ascii="Calibri" w:hAnsi="Calibri" w:cs="Calibri"/>
              </w:rPr>
              <w:t>Parameter</w:t>
            </w:r>
          </w:p>
        </w:tc>
        <w:tc>
          <w:tcPr>
            <w:tcW w:w="0" w:type="auto"/>
          </w:tcPr>
          <w:p w14:paraId="346767C1" w14:textId="77777777" w:rsidR="00CD1D74" w:rsidRDefault="00CD1D74" w:rsidP="00202C9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Description</w:t>
            </w:r>
          </w:p>
        </w:tc>
      </w:tr>
      <w:tr w:rsidR="00CD1D74" w14:paraId="6418F85E" w14:textId="77777777" w:rsidTr="000A5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32CE2ED" w14:textId="77777777" w:rsidR="00CD1D74" w:rsidRDefault="00CD1D74" w:rsidP="00202C99">
            <w:pPr>
              <w:jc w:val="center"/>
              <w:rPr>
                <w:rFonts w:ascii="Calibri" w:hAnsi="Calibri" w:cs="Calibri"/>
              </w:rPr>
            </w:pPr>
            <w:r w:rsidRPr="00E86566">
              <w:rPr>
                <w:rFonts w:ascii="Calibri" w:hAnsi="Calibri" w:cs="Calibri"/>
              </w:rPr>
              <w:t>Number of hidden layers</w:t>
            </w:r>
          </w:p>
        </w:tc>
        <w:tc>
          <w:tcPr>
            <w:tcW w:w="0" w:type="auto"/>
          </w:tcPr>
          <w:p w14:paraId="6C0A5983" w14:textId="77777777" w:rsidR="00CD1D74" w:rsidRDefault="00CD1D74" w:rsidP="00202C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3</w:t>
            </w:r>
          </w:p>
        </w:tc>
      </w:tr>
      <w:tr w:rsidR="00CD1D74" w14:paraId="2AC3A026" w14:textId="77777777" w:rsidTr="000A5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CFD0FC8" w14:textId="77777777" w:rsidR="00CD1D74" w:rsidRDefault="00CD1D74" w:rsidP="00202C99">
            <w:pPr>
              <w:jc w:val="center"/>
              <w:rPr>
                <w:rFonts w:ascii="Calibri" w:hAnsi="Calibri" w:cs="Calibri"/>
              </w:rPr>
            </w:pPr>
            <w:r w:rsidRPr="00E86566">
              <w:rPr>
                <w:rFonts w:ascii="Calibri" w:hAnsi="Calibri" w:cs="Calibri"/>
              </w:rPr>
              <w:t>Number of neurons of hidden layer 1</w:t>
            </w:r>
          </w:p>
        </w:tc>
        <w:tc>
          <w:tcPr>
            <w:tcW w:w="0" w:type="auto"/>
          </w:tcPr>
          <w:p w14:paraId="03533923" w14:textId="77777777" w:rsidR="00CD1D74" w:rsidRDefault="00CD1D74" w:rsidP="00202C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33</w:t>
            </w:r>
          </w:p>
        </w:tc>
      </w:tr>
      <w:tr w:rsidR="00CD1D74" w14:paraId="6D6DCCCB" w14:textId="77777777" w:rsidTr="000A5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DE3A0A2" w14:textId="77777777" w:rsidR="00CD1D74" w:rsidRPr="00E86566" w:rsidRDefault="00CD1D74" w:rsidP="00202C99">
            <w:pPr>
              <w:jc w:val="center"/>
              <w:rPr>
                <w:rFonts w:ascii="Calibri" w:hAnsi="Calibri" w:cs="Calibri"/>
              </w:rPr>
            </w:pPr>
            <w:r w:rsidRPr="00E86566">
              <w:rPr>
                <w:rFonts w:ascii="Calibri" w:hAnsi="Calibri" w:cs="Calibri"/>
              </w:rPr>
              <w:t>Activation Function</w:t>
            </w:r>
            <w:r>
              <w:rPr>
                <w:rFonts w:ascii="Calibri" w:hAnsi="Calibri" w:cs="Calibri"/>
              </w:rPr>
              <w:t xml:space="preserve"> of hidden layer 1</w:t>
            </w:r>
          </w:p>
        </w:tc>
        <w:tc>
          <w:tcPr>
            <w:tcW w:w="0" w:type="auto"/>
          </w:tcPr>
          <w:p w14:paraId="109634A1" w14:textId="77777777" w:rsidR="00CD1D74" w:rsidRDefault="00CD1D74" w:rsidP="00202C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Elu</w:t>
            </w:r>
          </w:p>
        </w:tc>
      </w:tr>
      <w:tr w:rsidR="00CD1D74" w14:paraId="7A7EE3CA" w14:textId="77777777" w:rsidTr="000A5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8566C74" w14:textId="77777777" w:rsidR="00CD1D74" w:rsidRDefault="00CD1D74" w:rsidP="00202C99">
            <w:pPr>
              <w:jc w:val="center"/>
              <w:rPr>
                <w:rFonts w:ascii="Calibri" w:hAnsi="Calibri" w:cs="Calibri"/>
              </w:rPr>
            </w:pPr>
            <w:r w:rsidRPr="00E86566">
              <w:rPr>
                <w:rFonts w:ascii="Calibri" w:hAnsi="Calibri" w:cs="Calibri"/>
              </w:rPr>
              <w:t>Number of neurons of hidden layer 2</w:t>
            </w:r>
          </w:p>
        </w:tc>
        <w:tc>
          <w:tcPr>
            <w:tcW w:w="0" w:type="auto"/>
          </w:tcPr>
          <w:p w14:paraId="168B566A" w14:textId="77777777" w:rsidR="00CD1D74" w:rsidRDefault="00CD1D74" w:rsidP="00202C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95</w:t>
            </w:r>
          </w:p>
        </w:tc>
      </w:tr>
      <w:tr w:rsidR="00CD1D74" w14:paraId="10E13A41" w14:textId="77777777" w:rsidTr="000A5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F5C0EE" w14:textId="77777777" w:rsidR="00CD1D74" w:rsidRPr="00E86566" w:rsidRDefault="00CD1D74" w:rsidP="00202C99">
            <w:pPr>
              <w:jc w:val="center"/>
              <w:rPr>
                <w:rFonts w:ascii="Calibri" w:hAnsi="Calibri" w:cs="Calibri"/>
              </w:rPr>
            </w:pPr>
            <w:r w:rsidRPr="00E86566">
              <w:rPr>
                <w:rFonts w:ascii="Calibri" w:hAnsi="Calibri" w:cs="Calibri"/>
              </w:rPr>
              <w:t>Activation Function</w:t>
            </w:r>
            <w:r>
              <w:rPr>
                <w:rFonts w:ascii="Calibri" w:hAnsi="Calibri" w:cs="Calibri"/>
              </w:rPr>
              <w:t xml:space="preserve"> of hidden layer 2</w:t>
            </w:r>
          </w:p>
        </w:tc>
        <w:tc>
          <w:tcPr>
            <w:tcW w:w="0" w:type="auto"/>
          </w:tcPr>
          <w:p w14:paraId="1EF750BE" w14:textId="77777777" w:rsidR="00CD1D74" w:rsidRDefault="00CD1D74" w:rsidP="00202C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Pr>
                <w:rFonts w:ascii="Calibri" w:hAnsi="Calibri" w:cs="Calibri"/>
              </w:rPr>
              <w:t>Relu</w:t>
            </w:r>
            <w:proofErr w:type="spellEnd"/>
          </w:p>
        </w:tc>
      </w:tr>
      <w:tr w:rsidR="00CD1D74" w14:paraId="1C660405" w14:textId="77777777" w:rsidTr="000A5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B84900E" w14:textId="77777777" w:rsidR="00CD1D74" w:rsidRDefault="00CD1D74" w:rsidP="00202C99">
            <w:pPr>
              <w:jc w:val="center"/>
              <w:rPr>
                <w:rFonts w:ascii="Calibri" w:hAnsi="Calibri" w:cs="Calibri"/>
              </w:rPr>
            </w:pPr>
            <w:r w:rsidRPr="00E86566">
              <w:rPr>
                <w:rFonts w:ascii="Calibri" w:hAnsi="Calibri" w:cs="Calibri"/>
              </w:rPr>
              <w:t xml:space="preserve">Number of neurons of hidden layer </w:t>
            </w:r>
            <w:r>
              <w:rPr>
                <w:rFonts w:ascii="Calibri" w:hAnsi="Calibri" w:cs="Calibri"/>
              </w:rPr>
              <w:t>3</w:t>
            </w:r>
          </w:p>
        </w:tc>
        <w:tc>
          <w:tcPr>
            <w:tcW w:w="0" w:type="auto"/>
          </w:tcPr>
          <w:p w14:paraId="179724A8" w14:textId="77777777" w:rsidR="00CD1D74" w:rsidRDefault="00CD1D74" w:rsidP="00202C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21</w:t>
            </w:r>
          </w:p>
        </w:tc>
      </w:tr>
      <w:tr w:rsidR="00CD1D74" w14:paraId="550B6C1C" w14:textId="77777777" w:rsidTr="000A5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0B4F622" w14:textId="77777777" w:rsidR="00CD1D74" w:rsidRPr="00E86566" w:rsidRDefault="00CD1D74" w:rsidP="00202C99">
            <w:pPr>
              <w:jc w:val="center"/>
              <w:rPr>
                <w:rFonts w:ascii="Calibri" w:hAnsi="Calibri" w:cs="Calibri"/>
              </w:rPr>
            </w:pPr>
            <w:r w:rsidRPr="00E86566">
              <w:rPr>
                <w:rFonts w:ascii="Calibri" w:hAnsi="Calibri" w:cs="Calibri"/>
              </w:rPr>
              <w:t>Activation Function</w:t>
            </w:r>
            <w:r>
              <w:rPr>
                <w:rFonts w:ascii="Calibri" w:hAnsi="Calibri" w:cs="Calibri"/>
              </w:rPr>
              <w:t xml:space="preserve"> of hidden layer 3</w:t>
            </w:r>
          </w:p>
        </w:tc>
        <w:tc>
          <w:tcPr>
            <w:tcW w:w="0" w:type="auto"/>
          </w:tcPr>
          <w:p w14:paraId="09532051" w14:textId="77777777" w:rsidR="00CD1D74" w:rsidRDefault="00CD1D74" w:rsidP="00202C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Pr>
                <w:rFonts w:ascii="Calibri" w:hAnsi="Calibri" w:cs="Calibri"/>
              </w:rPr>
              <w:t>Relu</w:t>
            </w:r>
            <w:proofErr w:type="spellEnd"/>
          </w:p>
        </w:tc>
      </w:tr>
      <w:tr w:rsidR="00CD1D74" w14:paraId="6DC2E8E9" w14:textId="77777777" w:rsidTr="000A5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3F6037" w14:textId="77777777" w:rsidR="00CD1D74" w:rsidRPr="00E86566" w:rsidRDefault="00CD1D74" w:rsidP="00202C99">
            <w:pPr>
              <w:jc w:val="center"/>
              <w:rPr>
                <w:rFonts w:ascii="Calibri" w:hAnsi="Calibri" w:cs="Calibri"/>
              </w:rPr>
            </w:pPr>
            <w:r>
              <w:rPr>
                <w:rFonts w:ascii="Calibri" w:hAnsi="Calibri" w:cs="Calibri"/>
              </w:rPr>
              <w:t>Cost function</w:t>
            </w:r>
          </w:p>
        </w:tc>
        <w:tc>
          <w:tcPr>
            <w:tcW w:w="0" w:type="auto"/>
          </w:tcPr>
          <w:p w14:paraId="445AE2FD" w14:textId="77777777" w:rsidR="00CD1D74" w:rsidRDefault="00CD1D74" w:rsidP="00202C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3351">
              <w:rPr>
                <w:rFonts w:ascii="Calibri" w:hAnsi="Calibri" w:cs="Calibri"/>
              </w:rPr>
              <w:t>Mean squared error</w:t>
            </w:r>
          </w:p>
        </w:tc>
      </w:tr>
      <w:tr w:rsidR="00CD1D74" w14:paraId="68E71E6E" w14:textId="77777777" w:rsidTr="000A5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6E2D26" w14:textId="77777777" w:rsidR="00CD1D74" w:rsidRPr="00E86566" w:rsidRDefault="00CD1D74" w:rsidP="00202C99">
            <w:pPr>
              <w:jc w:val="center"/>
              <w:rPr>
                <w:rFonts w:ascii="Calibri" w:hAnsi="Calibri" w:cs="Calibri"/>
              </w:rPr>
            </w:pPr>
            <w:r>
              <w:rPr>
                <w:rFonts w:ascii="Calibri" w:hAnsi="Calibri" w:cs="Calibri"/>
              </w:rPr>
              <w:t>Optimizer</w:t>
            </w:r>
          </w:p>
        </w:tc>
        <w:tc>
          <w:tcPr>
            <w:tcW w:w="0" w:type="auto"/>
          </w:tcPr>
          <w:p w14:paraId="42C70A68" w14:textId="77777777" w:rsidR="00CD1D74" w:rsidRDefault="00CD1D74" w:rsidP="00202C9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sidRPr="008F088F">
              <w:rPr>
                <w:rFonts w:ascii="Calibri" w:hAnsi="Calibri" w:cs="Calibri"/>
              </w:rPr>
              <w:t>Ada</w:t>
            </w:r>
            <w:r>
              <w:rPr>
                <w:rFonts w:ascii="Calibri" w:hAnsi="Calibri" w:cs="Calibri"/>
              </w:rPr>
              <w:t>G</w:t>
            </w:r>
            <w:r w:rsidRPr="008F088F">
              <w:rPr>
                <w:rFonts w:ascii="Calibri" w:hAnsi="Calibri" w:cs="Calibri"/>
              </w:rPr>
              <w:t>rad</w:t>
            </w:r>
            <w:proofErr w:type="spellEnd"/>
          </w:p>
        </w:tc>
      </w:tr>
    </w:tbl>
    <w:p w14:paraId="519848E5" w14:textId="77777777" w:rsidR="00CD1D74" w:rsidRDefault="00CD1D74" w:rsidP="00574960">
      <w:pPr>
        <w:pStyle w:val="BodyChar"/>
        <w:rPr>
          <w:rFonts w:ascii="Times New Roman" w:hAnsi="Times New Roman"/>
        </w:rPr>
      </w:pPr>
    </w:p>
    <w:p w14:paraId="5512222A" w14:textId="3505B273" w:rsidR="000A5D3A" w:rsidRPr="00F66A92" w:rsidRDefault="00F51B7C" w:rsidP="00574960">
      <w:pPr>
        <w:pStyle w:val="BodyChar"/>
        <w:rPr>
          <w:rFonts w:ascii="Times New Roman" w:hAnsi="Times New Roman"/>
          <w:color w:val="000000" w:themeColor="text1"/>
        </w:rPr>
      </w:pPr>
      <w:r w:rsidRPr="00F66A92">
        <w:rPr>
          <w:rFonts w:ascii="Times New Roman" w:hAnsi="Times New Roman"/>
          <w:color w:val="000000" w:themeColor="text1"/>
        </w:rPr>
        <w:t xml:space="preserve">Operation data obtained from </w:t>
      </w:r>
      <w:proofErr w:type="spellStart"/>
      <w:r w:rsidRPr="00F66A92">
        <w:rPr>
          <w:rFonts w:ascii="Times New Roman" w:hAnsi="Times New Roman"/>
          <w:color w:val="000000" w:themeColor="text1"/>
        </w:rPr>
        <w:t>Turbec</w:t>
      </w:r>
      <w:proofErr w:type="spellEnd"/>
      <w:r w:rsidRPr="00F66A92">
        <w:rPr>
          <w:rFonts w:ascii="Times New Roman" w:hAnsi="Times New Roman"/>
          <w:color w:val="000000" w:themeColor="text1"/>
        </w:rPr>
        <w:t xml:space="preserve"> T100, encompassing a variety of ambient conditions and power outputs, were harnessed in developing a data-driven model. The dataset was divided into training (70%), validation (10%), and testing (20%). </w:t>
      </w:r>
      <w:r w:rsidR="00C74962" w:rsidRPr="00F66A92">
        <w:rPr>
          <w:rFonts w:ascii="Times New Roman" w:hAnsi="Times New Roman"/>
          <w:color w:val="000000" w:themeColor="text1"/>
          <w:highlight w:val="yellow"/>
        </w:rPr>
        <w:fldChar w:fldCharType="begin"/>
      </w:r>
      <w:r w:rsidR="00C74962" w:rsidRPr="00F66A92">
        <w:rPr>
          <w:rFonts w:ascii="Times New Roman" w:hAnsi="Times New Roman"/>
          <w:color w:val="000000" w:themeColor="text1"/>
        </w:rPr>
        <w:instrText xml:space="preserve"> REF _Ref148607077 \h </w:instrText>
      </w:r>
      <w:r w:rsidR="00C74962" w:rsidRPr="00F66A92">
        <w:rPr>
          <w:rFonts w:ascii="Times New Roman" w:hAnsi="Times New Roman"/>
          <w:color w:val="000000" w:themeColor="text1"/>
          <w:highlight w:val="yellow"/>
        </w:rPr>
        <w:instrText xml:space="preserve"> \* MERGEFORMAT </w:instrText>
      </w:r>
      <w:r w:rsidR="00C74962" w:rsidRPr="00F66A92">
        <w:rPr>
          <w:rFonts w:ascii="Times New Roman" w:hAnsi="Times New Roman"/>
          <w:color w:val="000000" w:themeColor="text1"/>
          <w:highlight w:val="yellow"/>
        </w:rPr>
      </w:r>
      <w:r w:rsidR="00C74962" w:rsidRPr="00F66A92">
        <w:rPr>
          <w:rFonts w:ascii="Times New Roman" w:hAnsi="Times New Roman"/>
          <w:color w:val="000000" w:themeColor="text1"/>
          <w:highlight w:val="yellow"/>
        </w:rPr>
        <w:fldChar w:fldCharType="separate"/>
      </w:r>
      <w:r w:rsidR="002B44BC" w:rsidRPr="00F66A92">
        <w:rPr>
          <w:rFonts w:ascii="Times New Roman" w:hAnsi="Times New Roman"/>
          <w:color w:val="000000" w:themeColor="text1"/>
        </w:rPr>
        <w:t>Figure 3</w:t>
      </w:r>
      <w:r w:rsidR="00C74962" w:rsidRPr="00F66A92">
        <w:rPr>
          <w:rFonts w:ascii="Times New Roman" w:hAnsi="Times New Roman"/>
          <w:color w:val="000000" w:themeColor="text1"/>
          <w:highlight w:val="yellow"/>
        </w:rPr>
        <w:fldChar w:fldCharType="end"/>
      </w:r>
      <w:r w:rsidR="00C74962" w:rsidRPr="00F66A92">
        <w:rPr>
          <w:rFonts w:ascii="Times New Roman" w:hAnsi="Times New Roman"/>
          <w:color w:val="000000" w:themeColor="text1"/>
        </w:rPr>
        <w:t xml:space="preserve"> </w:t>
      </w:r>
      <w:r w:rsidRPr="00F66A92">
        <w:rPr>
          <w:rFonts w:ascii="Times New Roman" w:hAnsi="Times New Roman"/>
          <w:color w:val="000000" w:themeColor="text1"/>
        </w:rPr>
        <w:t xml:space="preserve">displays a comparison between the predictions of the data-driven model and testing data that not utilized in the training process. The resulting MAPEs for fuel consumption and waste gas temperature were found to be 0.25% and 0.19%, respectively. More detailed information about </w:t>
      </w:r>
      <w:proofErr w:type="spellStart"/>
      <w:r w:rsidRPr="00F66A92">
        <w:rPr>
          <w:rFonts w:ascii="Times New Roman" w:hAnsi="Times New Roman"/>
          <w:color w:val="000000" w:themeColor="text1"/>
        </w:rPr>
        <w:t>modeling</w:t>
      </w:r>
      <w:proofErr w:type="spellEnd"/>
      <w:r w:rsidRPr="00F66A92">
        <w:rPr>
          <w:rFonts w:ascii="Times New Roman" w:hAnsi="Times New Roman"/>
          <w:color w:val="000000" w:themeColor="text1"/>
        </w:rPr>
        <w:t xml:space="preserve"> and validation of MGT can be found in our previous publication [</w:t>
      </w:r>
      <w:r w:rsidR="00EE38C2" w:rsidRPr="00F66A92">
        <w:rPr>
          <w:rFonts w:ascii="Times New Roman" w:hAnsi="Times New Roman"/>
          <w:color w:val="000000" w:themeColor="text1"/>
        </w:rPr>
        <w:t>10</w:t>
      </w:r>
      <w:r w:rsidRPr="00F66A92">
        <w:rPr>
          <w:rFonts w:ascii="Times New Roman" w:hAnsi="Times New Roman"/>
          <w:color w:val="000000" w:themeColor="text1"/>
        </w:rPr>
        <w:t>].</w:t>
      </w:r>
    </w:p>
    <w:p w14:paraId="206E0309" w14:textId="77777777" w:rsidR="00240E04" w:rsidRDefault="00240E04" w:rsidP="00574960">
      <w:pPr>
        <w:pStyle w:val="BodyChar"/>
        <w:rPr>
          <w:rFonts w:ascii="Times New Roman" w:hAnsi="Times New Roman"/>
          <w:color w:val="7030A0"/>
        </w:rPr>
      </w:pPr>
    </w:p>
    <w:p w14:paraId="4DBE7B02" w14:textId="77777777" w:rsidR="00C74962" w:rsidRDefault="00F51B7C" w:rsidP="00C74962">
      <w:pPr>
        <w:pStyle w:val="BodyChar"/>
        <w:keepNext/>
        <w:jc w:val="center"/>
      </w:pPr>
      <w:r w:rsidRPr="000D3C7F">
        <w:rPr>
          <w:rFonts w:ascii="Calibri" w:hAnsi="Calibri" w:cs="Calibri"/>
          <w:noProof/>
          <w:sz w:val="20"/>
          <w:szCs w:val="20"/>
        </w:rPr>
        <w:drawing>
          <wp:inline distT="0" distB="0" distL="0" distR="0" wp14:anchorId="138F7D30" wp14:editId="072B839C">
            <wp:extent cx="4502110" cy="3248934"/>
            <wp:effectExtent l="0" t="0" r="0" b="2540"/>
            <wp:docPr id="7"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8076" cy="3253239"/>
                    </a:xfrm>
                    <a:prstGeom prst="rect">
                      <a:avLst/>
                    </a:prstGeom>
                    <a:noFill/>
                    <a:ln>
                      <a:noFill/>
                    </a:ln>
                  </pic:spPr>
                </pic:pic>
              </a:graphicData>
            </a:graphic>
          </wp:inline>
        </w:drawing>
      </w:r>
    </w:p>
    <w:p w14:paraId="004E9259" w14:textId="7116DC13" w:rsidR="00F51B7C" w:rsidRPr="00C74962" w:rsidRDefault="00C74962" w:rsidP="00C74962">
      <w:pPr>
        <w:pStyle w:val="Caption"/>
        <w:jc w:val="center"/>
        <w:rPr>
          <w:rFonts w:ascii="Times New Roman" w:hAnsi="Times New Roman"/>
          <w:i w:val="0"/>
          <w:iCs w:val="0"/>
          <w:color w:val="auto"/>
          <w:sz w:val="22"/>
          <w:szCs w:val="22"/>
        </w:rPr>
      </w:pPr>
      <w:bookmarkStart w:id="4" w:name="_Ref148607077"/>
      <w:r w:rsidRPr="00C74962">
        <w:rPr>
          <w:rFonts w:ascii="Times New Roman" w:hAnsi="Times New Roman"/>
          <w:b/>
          <w:bCs/>
          <w:i w:val="0"/>
          <w:iCs w:val="0"/>
          <w:color w:val="auto"/>
          <w:sz w:val="22"/>
          <w:szCs w:val="22"/>
        </w:rPr>
        <w:t xml:space="preserve">Figure </w:t>
      </w:r>
      <w:r w:rsidRPr="00C74962">
        <w:rPr>
          <w:rFonts w:ascii="Times New Roman" w:hAnsi="Times New Roman"/>
          <w:b/>
          <w:bCs/>
          <w:i w:val="0"/>
          <w:iCs w:val="0"/>
          <w:color w:val="auto"/>
          <w:sz w:val="22"/>
          <w:szCs w:val="22"/>
        </w:rPr>
        <w:fldChar w:fldCharType="begin"/>
      </w:r>
      <w:r w:rsidRPr="00C74962">
        <w:rPr>
          <w:rFonts w:ascii="Times New Roman" w:hAnsi="Times New Roman"/>
          <w:b/>
          <w:bCs/>
          <w:i w:val="0"/>
          <w:iCs w:val="0"/>
          <w:color w:val="auto"/>
          <w:sz w:val="22"/>
          <w:szCs w:val="22"/>
        </w:rPr>
        <w:instrText xml:space="preserve"> SEQ Figure \* ARABIC </w:instrText>
      </w:r>
      <w:r w:rsidRPr="00C74962">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3</w:t>
      </w:r>
      <w:r w:rsidRPr="00C74962">
        <w:rPr>
          <w:rFonts w:ascii="Times New Roman" w:hAnsi="Times New Roman"/>
          <w:b/>
          <w:bCs/>
          <w:i w:val="0"/>
          <w:iCs w:val="0"/>
          <w:color w:val="auto"/>
          <w:sz w:val="22"/>
          <w:szCs w:val="22"/>
        </w:rPr>
        <w:fldChar w:fldCharType="end"/>
      </w:r>
      <w:bookmarkEnd w:id="4"/>
      <w:r>
        <w:rPr>
          <w:rFonts w:ascii="Times New Roman" w:hAnsi="Times New Roman"/>
          <w:b/>
          <w:bCs/>
          <w:i w:val="0"/>
          <w:iCs w:val="0"/>
          <w:color w:val="auto"/>
          <w:sz w:val="22"/>
          <w:szCs w:val="22"/>
        </w:rPr>
        <w:t>.</w:t>
      </w:r>
      <w:r w:rsidRPr="00C74962">
        <w:rPr>
          <w:rFonts w:ascii="Times New Roman" w:hAnsi="Times New Roman"/>
          <w:b/>
          <w:bCs/>
          <w:i w:val="0"/>
          <w:iCs w:val="0"/>
          <w:color w:val="auto"/>
          <w:sz w:val="22"/>
          <w:szCs w:val="22"/>
        </w:rPr>
        <w:t xml:space="preserve"> </w:t>
      </w:r>
      <w:r w:rsidRPr="00C74962">
        <w:rPr>
          <w:rFonts w:ascii="Times New Roman" w:hAnsi="Times New Roman"/>
          <w:i w:val="0"/>
          <w:iCs w:val="0"/>
          <w:color w:val="auto"/>
          <w:sz w:val="22"/>
          <w:szCs w:val="22"/>
        </w:rPr>
        <w:t>Validation of micro gas turbine</w:t>
      </w:r>
    </w:p>
    <w:p w14:paraId="526B6226" w14:textId="36DD6373" w:rsidR="00DD690D" w:rsidRPr="000A5D3A" w:rsidRDefault="00D80434" w:rsidP="00500048">
      <w:pPr>
        <w:pStyle w:val="Heading2"/>
        <w:rPr>
          <w:rFonts w:ascii="Times New Roman" w:hAnsi="Times New Roman"/>
        </w:rPr>
      </w:pPr>
      <w:r>
        <w:rPr>
          <w:rFonts w:ascii="Times New Roman" w:hAnsi="Times New Roman"/>
        </w:rPr>
        <w:t>Ground source heat pump</w:t>
      </w:r>
    </w:p>
    <w:p w14:paraId="181A8C72" w14:textId="77777777" w:rsidR="00C05864" w:rsidRPr="00C05864" w:rsidRDefault="00C05864" w:rsidP="00C05864">
      <w:pPr>
        <w:pStyle w:val="BodyChar"/>
        <w:rPr>
          <w:rFonts w:ascii="Times New Roman" w:hAnsi="Times New Roman"/>
        </w:rPr>
      </w:pPr>
      <w:r w:rsidRPr="00C05864">
        <w:rPr>
          <w:rFonts w:ascii="Times New Roman" w:hAnsi="Times New Roman"/>
        </w:rPr>
        <w:t xml:space="preserve">In the ground source heat pump system, there are two essential components: the borehole heat exchanger and the brine to water heat pump. The borehole heat exchanger utilizes a series of vertical boreholes in the ground to aid in heat transfer. These boreholes are filled with a circulating fluid, commonly a mixture of water and antifreeze, that absorbs heat from the surrounding ground in winter and releases excess </w:t>
      </w:r>
      <w:r w:rsidRPr="00C05864">
        <w:rPr>
          <w:rFonts w:ascii="Times New Roman" w:hAnsi="Times New Roman"/>
        </w:rPr>
        <w:lastRenderedPageBreak/>
        <w:t xml:space="preserve">heat during summer. The brine to water heat pump is responsible for extracting or injecting heat by the circulating fluid, ensuring effective heating or cooling for the building or system. </w:t>
      </w:r>
    </w:p>
    <w:p w14:paraId="4D8AC063" w14:textId="77777777" w:rsidR="00C05864" w:rsidRPr="00C05864" w:rsidRDefault="00C05864" w:rsidP="00C05864">
      <w:pPr>
        <w:pStyle w:val="BodyChar"/>
        <w:rPr>
          <w:rFonts w:ascii="Times New Roman" w:hAnsi="Times New Roman"/>
        </w:rPr>
      </w:pPr>
    </w:p>
    <w:p w14:paraId="3804D749" w14:textId="23566124" w:rsidR="00C05864" w:rsidRDefault="00C05864" w:rsidP="00C05864">
      <w:pPr>
        <w:pStyle w:val="BodyChar"/>
        <w:rPr>
          <w:rFonts w:ascii="Times New Roman" w:hAnsi="Times New Roman"/>
        </w:rPr>
      </w:pPr>
      <w:r w:rsidRPr="00C05864">
        <w:rPr>
          <w:rFonts w:ascii="Times New Roman" w:hAnsi="Times New Roman"/>
        </w:rPr>
        <w:t xml:space="preserve">The </w:t>
      </w:r>
      <w:proofErr w:type="spellStart"/>
      <w:r w:rsidRPr="00C05864">
        <w:rPr>
          <w:rFonts w:ascii="Times New Roman" w:hAnsi="Times New Roman"/>
        </w:rPr>
        <w:t>modeling</w:t>
      </w:r>
      <w:proofErr w:type="spellEnd"/>
      <w:r w:rsidRPr="00C05864">
        <w:rPr>
          <w:rFonts w:ascii="Times New Roman" w:hAnsi="Times New Roman"/>
        </w:rPr>
        <w:t xml:space="preserve"> of the borehole heat exchanger involves utilizing </w:t>
      </w:r>
      <w:proofErr w:type="spellStart"/>
      <w:r w:rsidRPr="00C05864">
        <w:rPr>
          <w:rFonts w:ascii="Times New Roman" w:hAnsi="Times New Roman"/>
        </w:rPr>
        <w:t>MoBTES</w:t>
      </w:r>
      <w:proofErr w:type="spellEnd"/>
      <w:r w:rsidR="0092187C">
        <w:rPr>
          <w:rFonts w:ascii="Times New Roman" w:hAnsi="Times New Roman"/>
        </w:rPr>
        <w:t xml:space="preserve"> [</w:t>
      </w:r>
      <w:r w:rsidR="00AB0A08">
        <w:rPr>
          <w:rFonts w:ascii="Times New Roman" w:hAnsi="Times New Roman"/>
        </w:rPr>
        <w:t>11</w:t>
      </w:r>
      <w:r w:rsidR="0092187C">
        <w:rPr>
          <w:rFonts w:ascii="Times New Roman" w:hAnsi="Times New Roman"/>
        </w:rPr>
        <w:t>]</w:t>
      </w:r>
      <w:r w:rsidRPr="00C05864">
        <w:rPr>
          <w:rFonts w:ascii="Times New Roman" w:hAnsi="Times New Roman"/>
        </w:rPr>
        <w:t xml:space="preserve">, an open-source package developed using the </w:t>
      </w:r>
      <w:proofErr w:type="spellStart"/>
      <w:r w:rsidRPr="00C05864">
        <w:rPr>
          <w:rFonts w:ascii="Times New Roman" w:hAnsi="Times New Roman"/>
        </w:rPr>
        <w:t>Modelica</w:t>
      </w:r>
      <w:proofErr w:type="spellEnd"/>
      <w:r w:rsidRPr="00C05864">
        <w:rPr>
          <w:rFonts w:ascii="Times New Roman" w:hAnsi="Times New Roman"/>
        </w:rPr>
        <w:t xml:space="preserve"> language. The TRCM is employed to accurately model heat transfer within the borehole, emphasizing short-term accuracy. Additionally, the finite difference method is adopted to model heat exchange between the borehole and </w:t>
      </w:r>
      <w:r w:rsidRPr="00E07535">
        <w:rPr>
          <w:rFonts w:ascii="Times New Roman" w:hAnsi="Times New Roman"/>
        </w:rPr>
        <w:t>the ground. The accuracy of the borehole heat exchanger model is validated using real-world operation data from UPV, Spain [</w:t>
      </w:r>
      <w:r w:rsidR="00F90B3D" w:rsidRPr="00E07535">
        <w:rPr>
          <w:rFonts w:ascii="Times New Roman" w:hAnsi="Times New Roman"/>
        </w:rPr>
        <w:t>12</w:t>
      </w:r>
      <w:r w:rsidRPr="00E07535">
        <w:rPr>
          <w:rFonts w:ascii="Times New Roman" w:hAnsi="Times New Roman"/>
        </w:rPr>
        <w:t>]. The borehole</w:t>
      </w:r>
      <w:r w:rsidRPr="00C05864">
        <w:rPr>
          <w:rFonts w:ascii="Times New Roman" w:hAnsi="Times New Roman"/>
        </w:rPr>
        <w:t xml:space="preserve"> heat exchanger consists of six single U-tube boreholes interconnected in a balanced parallel arrangement. Each borehole has a depth of 50 meters, and there is a 3-meter spacing between them. These six boreholes are organized in a rectangular grid layout of 2 by 3, covering a total area of 18 m</w:t>
      </w:r>
      <w:r w:rsidRPr="000850CB">
        <w:rPr>
          <w:rFonts w:ascii="Times New Roman" w:hAnsi="Times New Roman"/>
          <w:vertAlign w:val="superscript"/>
        </w:rPr>
        <w:t>2</w:t>
      </w:r>
      <w:r w:rsidRPr="00C05864">
        <w:rPr>
          <w:rFonts w:ascii="Times New Roman" w:hAnsi="Times New Roman"/>
        </w:rPr>
        <w:t>. For additional details</w:t>
      </w:r>
      <w:r w:rsidRPr="00750828">
        <w:rPr>
          <w:rFonts w:ascii="Times New Roman" w:hAnsi="Times New Roman"/>
        </w:rPr>
        <w:t xml:space="preserve">, refer to </w:t>
      </w:r>
      <w:r w:rsidR="00750828" w:rsidRPr="00750828">
        <w:rPr>
          <w:rFonts w:ascii="Times New Roman" w:hAnsi="Times New Roman"/>
        </w:rPr>
        <w:fldChar w:fldCharType="begin"/>
      </w:r>
      <w:r w:rsidR="00750828" w:rsidRPr="00750828">
        <w:rPr>
          <w:rFonts w:ascii="Times New Roman" w:hAnsi="Times New Roman"/>
        </w:rPr>
        <w:instrText xml:space="preserve"> REF _Ref146734814 \h  \* MERGEFORMAT </w:instrText>
      </w:r>
      <w:r w:rsidR="00750828" w:rsidRPr="00750828">
        <w:rPr>
          <w:rFonts w:ascii="Times New Roman" w:hAnsi="Times New Roman"/>
        </w:rPr>
      </w:r>
      <w:r w:rsidR="00750828" w:rsidRPr="00750828">
        <w:rPr>
          <w:rFonts w:ascii="Times New Roman" w:hAnsi="Times New Roman"/>
        </w:rPr>
        <w:fldChar w:fldCharType="separate"/>
      </w:r>
      <w:r w:rsidR="002B44BC" w:rsidRPr="002B44BC">
        <w:rPr>
          <w:rFonts w:ascii="Times New Roman" w:hAnsi="Times New Roman" w:cs="Times New Roman"/>
          <w:color w:val="auto"/>
        </w:rPr>
        <w:t xml:space="preserve">Table </w:t>
      </w:r>
      <w:r w:rsidR="002B44BC" w:rsidRPr="002B44BC">
        <w:rPr>
          <w:rFonts w:ascii="Times New Roman" w:hAnsi="Times New Roman" w:cs="Times New Roman"/>
          <w:noProof/>
          <w:color w:val="auto"/>
        </w:rPr>
        <w:t>3</w:t>
      </w:r>
      <w:r w:rsidR="00750828" w:rsidRPr="00750828">
        <w:rPr>
          <w:rFonts w:ascii="Times New Roman" w:hAnsi="Times New Roman"/>
        </w:rPr>
        <w:fldChar w:fldCharType="end"/>
      </w:r>
      <w:r w:rsidRPr="00750828">
        <w:rPr>
          <w:rFonts w:ascii="Times New Roman" w:hAnsi="Times New Roman"/>
        </w:rPr>
        <w:t>.</w:t>
      </w:r>
    </w:p>
    <w:p w14:paraId="1697B9D9" w14:textId="77777777" w:rsidR="007D5B01" w:rsidRPr="007D5B01" w:rsidRDefault="007D5B01" w:rsidP="00C05864">
      <w:pPr>
        <w:pStyle w:val="BodyChar"/>
        <w:rPr>
          <w:rFonts w:ascii="Times New Roman" w:hAnsi="Times New Roman"/>
        </w:rPr>
      </w:pPr>
    </w:p>
    <w:p w14:paraId="50B89F14" w14:textId="3C6467FF" w:rsidR="00750828" w:rsidRPr="00750828" w:rsidRDefault="00750828" w:rsidP="00750828">
      <w:pPr>
        <w:pStyle w:val="Caption"/>
        <w:keepNext/>
        <w:jc w:val="center"/>
        <w:rPr>
          <w:rFonts w:ascii="Times New Roman" w:hAnsi="Times New Roman"/>
          <w:i w:val="0"/>
          <w:iCs w:val="0"/>
          <w:color w:val="auto"/>
          <w:sz w:val="22"/>
          <w:szCs w:val="22"/>
        </w:rPr>
      </w:pPr>
      <w:bookmarkStart w:id="5" w:name="_Ref146734814"/>
      <w:r w:rsidRPr="00750828">
        <w:rPr>
          <w:rFonts w:ascii="Times New Roman" w:hAnsi="Times New Roman"/>
          <w:b/>
          <w:bCs/>
          <w:i w:val="0"/>
          <w:iCs w:val="0"/>
          <w:color w:val="auto"/>
          <w:sz w:val="22"/>
          <w:szCs w:val="22"/>
        </w:rPr>
        <w:t xml:space="preserve">Table </w:t>
      </w:r>
      <w:r w:rsidRPr="00750828">
        <w:rPr>
          <w:rFonts w:ascii="Times New Roman" w:hAnsi="Times New Roman"/>
          <w:b/>
          <w:bCs/>
          <w:i w:val="0"/>
          <w:iCs w:val="0"/>
          <w:color w:val="auto"/>
          <w:sz w:val="22"/>
          <w:szCs w:val="22"/>
        </w:rPr>
        <w:fldChar w:fldCharType="begin"/>
      </w:r>
      <w:r w:rsidRPr="00750828">
        <w:rPr>
          <w:rFonts w:ascii="Times New Roman" w:hAnsi="Times New Roman"/>
          <w:b/>
          <w:bCs/>
          <w:i w:val="0"/>
          <w:iCs w:val="0"/>
          <w:color w:val="auto"/>
          <w:sz w:val="22"/>
          <w:szCs w:val="22"/>
        </w:rPr>
        <w:instrText xml:space="preserve"> SEQ Table \* ARABIC </w:instrText>
      </w:r>
      <w:r w:rsidRPr="00750828">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3</w:t>
      </w:r>
      <w:r w:rsidRPr="00750828">
        <w:rPr>
          <w:rFonts w:ascii="Times New Roman" w:hAnsi="Times New Roman"/>
          <w:b/>
          <w:bCs/>
          <w:i w:val="0"/>
          <w:iCs w:val="0"/>
          <w:color w:val="auto"/>
          <w:sz w:val="22"/>
          <w:szCs w:val="22"/>
        </w:rPr>
        <w:fldChar w:fldCharType="end"/>
      </w:r>
      <w:bookmarkEnd w:id="5"/>
      <w:r w:rsidRPr="00750828">
        <w:rPr>
          <w:rFonts w:ascii="Times New Roman" w:hAnsi="Times New Roman"/>
          <w:i w:val="0"/>
          <w:iCs w:val="0"/>
          <w:color w:val="auto"/>
          <w:sz w:val="22"/>
          <w:szCs w:val="22"/>
        </w:rPr>
        <w:t>. Parameter of borehole heat exchanger model</w:t>
      </w:r>
    </w:p>
    <w:tbl>
      <w:tblPr>
        <w:tblStyle w:val="PlainTable2"/>
        <w:tblW w:w="0" w:type="auto"/>
        <w:jc w:val="center"/>
        <w:tblLook w:val="04A0" w:firstRow="1" w:lastRow="0" w:firstColumn="1" w:lastColumn="0" w:noHBand="0" w:noVBand="1"/>
      </w:tblPr>
      <w:tblGrid>
        <w:gridCol w:w="2857"/>
        <w:gridCol w:w="1710"/>
      </w:tblGrid>
      <w:tr w:rsidR="00C05864" w:rsidRPr="0003216F" w14:paraId="378DAFC8" w14:textId="77777777" w:rsidTr="000A5D3A">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A154DD3" w14:textId="77777777" w:rsidR="00C05864" w:rsidRPr="0003216F" w:rsidRDefault="00C05864" w:rsidP="00202C99">
            <w:pPr>
              <w:jc w:val="center"/>
              <w:rPr>
                <w:rFonts w:ascii="Calibri" w:eastAsia="Times New Roman" w:hAnsi="Calibri" w:cs="Calibri"/>
                <w:b w:val="0"/>
                <w:bCs w:val="0"/>
                <w:szCs w:val="21"/>
              </w:rPr>
            </w:pPr>
            <w:r w:rsidRPr="0003216F">
              <w:rPr>
                <w:rFonts w:ascii="Calibri" w:eastAsia="Times New Roman" w:hAnsi="Calibri" w:cs="Calibri"/>
                <w:szCs w:val="21"/>
                <w:lang w:val="nl-NL"/>
              </w:rPr>
              <w:t>Parameter</w:t>
            </w:r>
          </w:p>
        </w:tc>
        <w:tc>
          <w:tcPr>
            <w:tcW w:w="0" w:type="auto"/>
            <w:noWrap/>
            <w:hideMark/>
          </w:tcPr>
          <w:p w14:paraId="3E575611" w14:textId="77777777" w:rsidR="00C05864" w:rsidRPr="0003216F" w:rsidRDefault="00C05864" w:rsidP="00202C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Cs w:val="21"/>
              </w:rPr>
            </w:pPr>
            <w:r w:rsidRPr="0003216F">
              <w:rPr>
                <w:rFonts w:ascii="Calibri" w:eastAsia="Times New Roman" w:hAnsi="Calibri" w:cs="Calibri"/>
                <w:szCs w:val="21"/>
                <w:lang w:val="nl-NL"/>
              </w:rPr>
              <w:t>Description</w:t>
            </w:r>
          </w:p>
        </w:tc>
      </w:tr>
      <w:tr w:rsidR="00C05864" w:rsidRPr="0003216F" w14:paraId="792DBF82" w14:textId="77777777" w:rsidTr="000A5D3A">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9D4AD2"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Working fluid</w:t>
            </w:r>
          </w:p>
        </w:tc>
        <w:tc>
          <w:tcPr>
            <w:tcW w:w="0" w:type="auto"/>
            <w:noWrap/>
            <w:hideMark/>
          </w:tcPr>
          <w:p w14:paraId="1A4C38DA" w14:textId="77777777" w:rsidR="00C05864" w:rsidRPr="0003216F" w:rsidRDefault="00C05864" w:rsidP="00202C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Water</w:t>
            </w:r>
          </w:p>
        </w:tc>
      </w:tr>
      <w:tr w:rsidR="00C05864" w:rsidRPr="0003216F" w14:paraId="0FB924F7" w14:textId="77777777" w:rsidTr="000A5D3A">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B18E6E5"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Tube outer diameter</w:t>
            </w:r>
          </w:p>
        </w:tc>
        <w:tc>
          <w:tcPr>
            <w:tcW w:w="0" w:type="auto"/>
            <w:noWrap/>
            <w:hideMark/>
          </w:tcPr>
          <w:p w14:paraId="355EC505" w14:textId="4F94ECA9" w:rsidR="00C05864" w:rsidRPr="0003216F" w:rsidRDefault="00C05864" w:rsidP="00202C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0.0</w:t>
            </w:r>
            <w:r w:rsidR="00D15C8A">
              <w:rPr>
                <w:rFonts w:ascii="Calibri" w:eastAsia="Times New Roman" w:hAnsi="Calibri" w:cs="Calibri"/>
                <w:szCs w:val="21"/>
                <w:lang w:val="nl-NL"/>
              </w:rPr>
              <w:t>16</w:t>
            </w:r>
            <w:r w:rsidRPr="0003216F">
              <w:rPr>
                <w:rFonts w:ascii="Calibri" w:eastAsia="Times New Roman" w:hAnsi="Calibri" w:cs="Calibri"/>
                <w:szCs w:val="21"/>
                <w:lang w:val="nl-NL"/>
              </w:rPr>
              <w:t xml:space="preserve"> m</w:t>
            </w:r>
          </w:p>
        </w:tc>
      </w:tr>
      <w:tr w:rsidR="00C05864" w:rsidRPr="0003216F" w14:paraId="5BEE8178" w14:textId="77777777" w:rsidTr="000A5D3A">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CCBCA88"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Tube inner diameter</w:t>
            </w:r>
          </w:p>
        </w:tc>
        <w:tc>
          <w:tcPr>
            <w:tcW w:w="0" w:type="auto"/>
            <w:noWrap/>
            <w:hideMark/>
          </w:tcPr>
          <w:p w14:paraId="4125A317" w14:textId="343D8339" w:rsidR="00C05864" w:rsidRPr="0003216F" w:rsidRDefault="00C05864" w:rsidP="00202C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0.0</w:t>
            </w:r>
            <w:r w:rsidR="00D15C8A">
              <w:rPr>
                <w:rFonts w:ascii="Calibri" w:eastAsia="Times New Roman" w:hAnsi="Calibri" w:cs="Calibri"/>
                <w:szCs w:val="21"/>
                <w:lang w:val="nl-NL"/>
              </w:rPr>
              <w:t>127</w:t>
            </w:r>
            <w:r w:rsidRPr="0003216F">
              <w:rPr>
                <w:rFonts w:ascii="Calibri" w:eastAsia="Times New Roman" w:hAnsi="Calibri" w:cs="Calibri"/>
                <w:szCs w:val="21"/>
                <w:lang w:val="nl-NL"/>
              </w:rPr>
              <w:t xml:space="preserve"> m</w:t>
            </w:r>
          </w:p>
        </w:tc>
      </w:tr>
      <w:tr w:rsidR="00C05864" w:rsidRPr="0003216F" w14:paraId="26AFA6EA" w14:textId="77777777" w:rsidTr="000A5D3A">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E9C9CF"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 xml:space="preserve">Tube shank spacing </w:t>
            </w:r>
          </w:p>
        </w:tc>
        <w:tc>
          <w:tcPr>
            <w:tcW w:w="0" w:type="auto"/>
            <w:noWrap/>
            <w:hideMark/>
          </w:tcPr>
          <w:p w14:paraId="0EEFF5A6" w14:textId="532977BC" w:rsidR="00C05864" w:rsidRPr="0003216F" w:rsidRDefault="00C05864" w:rsidP="00202C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0.0</w:t>
            </w:r>
            <w:r w:rsidR="00D15C8A">
              <w:rPr>
                <w:rFonts w:ascii="Calibri" w:eastAsia="Times New Roman" w:hAnsi="Calibri" w:cs="Calibri"/>
                <w:szCs w:val="21"/>
                <w:lang w:val="nl-NL"/>
              </w:rPr>
              <w:t>7</w:t>
            </w:r>
            <w:r w:rsidRPr="0003216F">
              <w:rPr>
                <w:rFonts w:ascii="Calibri" w:eastAsia="Times New Roman" w:hAnsi="Calibri" w:cs="Calibri"/>
                <w:szCs w:val="21"/>
                <w:lang w:val="nl-NL"/>
              </w:rPr>
              <w:t xml:space="preserve"> m</w:t>
            </w:r>
          </w:p>
        </w:tc>
      </w:tr>
      <w:tr w:rsidR="00C05864" w:rsidRPr="0003216F" w14:paraId="62D33493" w14:textId="77777777" w:rsidTr="000A5D3A">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BA32F08"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Borehole depth</w:t>
            </w:r>
          </w:p>
        </w:tc>
        <w:tc>
          <w:tcPr>
            <w:tcW w:w="0" w:type="auto"/>
            <w:noWrap/>
            <w:hideMark/>
          </w:tcPr>
          <w:p w14:paraId="7E501F71" w14:textId="7F4846FF" w:rsidR="00C05864" w:rsidRPr="0003216F" w:rsidRDefault="00D15C8A" w:rsidP="00202C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1"/>
              </w:rPr>
            </w:pPr>
            <w:r>
              <w:rPr>
                <w:rFonts w:ascii="Calibri" w:eastAsia="Times New Roman" w:hAnsi="Calibri" w:cs="Calibri"/>
                <w:szCs w:val="21"/>
                <w:lang w:val="nl-NL"/>
              </w:rPr>
              <w:t>50</w:t>
            </w:r>
            <w:r w:rsidR="00C05864" w:rsidRPr="0003216F">
              <w:rPr>
                <w:rFonts w:ascii="Calibri" w:eastAsia="Times New Roman" w:hAnsi="Calibri" w:cs="Calibri"/>
                <w:szCs w:val="21"/>
                <w:lang w:val="nl-NL"/>
              </w:rPr>
              <w:t xml:space="preserve"> m</w:t>
            </w:r>
          </w:p>
        </w:tc>
      </w:tr>
      <w:tr w:rsidR="00C05864" w:rsidRPr="0003216F" w14:paraId="7DED88EF" w14:textId="77777777" w:rsidTr="000A5D3A">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94D56D"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Borehole diameter</w:t>
            </w:r>
          </w:p>
        </w:tc>
        <w:tc>
          <w:tcPr>
            <w:tcW w:w="0" w:type="auto"/>
            <w:noWrap/>
            <w:hideMark/>
          </w:tcPr>
          <w:p w14:paraId="77CC9142" w14:textId="1980FD27" w:rsidR="00C05864" w:rsidRPr="0003216F" w:rsidRDefault="00C05864" w:rsidP="00202C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0.15</w:t>
            </w:r>
            <w:r w:rsidR="00D15C8A">
              <w:rPr>
                <w:rFonts w:ascii="Calibri" w:eastAsia="Times New Roman" w:hAnsi="Calibri" w:cs="Calibri"/>
                <w:szCs w:val="21"/>
                <w:lang w:val="nl-NL"/>
              </w:rPr>
              <w:t>0</w:t>
            </w:r>
            <w:r w:rsidRPr="0003216F">
              <w:rPr>
                <w:rFonts w:ascii="Calibri" w:eastAsia="Times New Roman" w:hAnsi="Calibri" w:cs="Calibri"/>
                <w:szCs w:val="21"/>
                <w:lang w:val="nl-NL"/>
              </w:rPr>
              <w:t xml:space="preserve"> m</w:t>
            </w:r>
          </w:p>
        </w:tc>
      </w:tr>
      <w:tr w:rsidR="00C05864" w:rsidRPr="0003216F" w14:paraId="39A5D4F5" w14:textId="77777777" w:rsidTr="000A5D3A">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AB31B0"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Borehole number</w:t>
            </w:r>
          </w:p>
        </w:tc>
        <w:tc>
          <w:tcPr>
            <w:tcW w:w="0" w:type="auto"/>
            <w:noWrap/>
            <w:hideMark/>
          </w:tcPr>
          <w:p w14:paraId="6E9DDFF6" w14:textId="47F5DA42" w:rsidR="00C05864" w:rsidRPr="0003216F" w:rsidRDefault="000846D8" w:rsidP="00202C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1"/>
              </w:rPr>
            </w:pPr>
            <w:r>
              <w:rPr>
                <w:rFonts w:ascii="Calibri" w:eastAsia="Times New Roman" w:hAnsi="Calibri" w:cs="Calibri"/>
                <w:szCs w:val="21"/>
              </w:rPr>
              <w:t>6</w:t>
            </w:r>
          </w:p>
        </w:tc>
      </w:tr>
      <w:tr w:rsidR="00C05864" w:rsidRPr="0003216F" w14:paraId="7EFE1F05" w14:textId="77777777" w:rsidTr="000A5D3A">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9E786C2"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Borehole distance</w:t>
            </w:r>
          </w:p>
        </w:tc>
        <w:tc>
          <w:tcPr>
            <w:tcW w:w="0" w:type="auto"/>
            <w:noWrap/>
            <w:hideMark/>
          </w:tcPr>
          <w:p w14:paraId="32298C74" w14:textId="624C5005" w:rsidR="00C05864" w:rsidRPr="0003216F" w:rsidRDefault="000846D8" w:rsidP="00202C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rPr>
            </w:pPr>
            <w:r>
              <w:rPr>
                <w:rFonts w:ascii="Calibri" w:eastAsia="Times New Roman" w:hAnsi="Calibri" w:cs="Calibri"/>
                <w:szCs w:val="21"/>
                <w:lang w:val="nl-NL"/>
              </w:rPr>
              <w:t xml:space="preserve">3 </w:t>
            </w:r>
            <w:r w:rsidR="00C05864" w:rsidRPr="0003216F">
              <w:rPr>
                <w:rFonts w:ascii="Calibri" w:eastAsia="Times New Roman" w:hAnsi="Calibri" w:cs="Calibri"/>
                <w:szCs w:val="21"/>
                <w:lang w:val="nl-NL"/>
              </w:rPr>
              <w:t>m</w:t>
            </w:r>
          </w:p>
        </w:tc>
      </w:tr>
      <w:tr w:rsidR="00C05864" w:rsidRPr="0003216F" w14:paraId="11C63EA4" w14:textId="77777777" w:rsidTr="000A5D3A">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5F8FDB2"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 xml:space="preserve">Pipe thermal capacity </w:t>
            </w:r>
          </w:p>
        </w:tc>
        <w:tc>
          <w:tcPr>
            <w:tcW w:w="0" w:type="auto"/>
            <w:noWrap/>
            <w:hideMark/>
          </w:tcPr>
          <w:p w14:paraId="6C2991AB" w14:textId="312D25F8" w:rsidR="00C05864" w:rsidRPr="0003216F" w:rsidRDefault="00C05864" w:rsidP="00202C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1.8</w:t>
            </w:r>
            <w:r w:rsidR="004E1E61">
              <w:rPr>
                <w:rFonts w:ascii="Calibri" w:eastAsia="Times New Roman" w:hAnsi="Calibri" w:cs="Calibri"/>
                <w:szCs w:val="21"/>
                <w:lang w:val="nl-NL"/>
              </w:rPr>
              <w:t>1</w:t>
            </w:r>
            <m:oMath>
              <m:r>
                <w:rPr>
                  <w:rFonts w:ascii="Cambria Math" w:eastAsia="Times New Roman" w:hAnsi="Cambria Math" w:cs="Calibri"/>
                  <w:szCs w:val="21"/>
                  <w:lang w:val="nl-NL"/>
                </w:rPr>
                <m:t>∙</m:t>
              </m:r>
            </m:oMath>
            <w:r w:rsidRPr="0003216F">
              <w:rPr>
                <w:rFonts w:ascii="Calibri" w:eastAsia="Times New Roman" w:hAnsi="Calibri" w:cs="Calibri"/>
                <w:szCs w:val="21"/>
                <w:lang w:val="nl-NL"/>
              </w:rPr>
              <w:t>10</w:t>
            </w:r>
            <w:r w:rsidRPr="0003216F">
              <w:rPr>
                <w:rFonts w:ascii="Calibri" w:eastAsia="Times New Roman" w:hAnsi="Calibri" w:cs="Calibri"/>
                <w:szCs w:val="21"/>
                <w:vertAlign w:val="superscript"/>
                <w:lang w:val="nl-NL"/>
              </w:rPr>
              <w:t>6</w:t>
            </w:r>
            <w:r w:rsidRPr="0003216F">
              <w:rPr>
                <w:rFonts w:ascii="Calibri" w:eastAsia="Times New Roman" w:hAnsi="Calibri" w:cs="Calibri"/>
                <w:szCs w:val="21"/>
                <w:lang w:val="nl-NL"/>
              </w:rPr>
              <w:t xml:space="preserve"> J/(m</w:t>
            </w:r>
            <w:r w:rsidRPr="0003216F">
              <w:rPr>
                <w:rFonts w:ascii="Calibri" w:eastAsia="Times New Roman" w:hAnsi="Calibri" w:cs="Calibri"/>
                <w:szCs w:val="21"/>
                <w:vertAlign w:val="superscript"/>
                <w:lang w:val="nl-NL"/>
              </w:rPr>
              <w:t>3</w:t>
            </w:r>
            <w:r w:rsidRPr="0003216F">
              <w:rPr>
                <w:rFonts w:ascii="Calibri" w:eastAsia="Times New Roman" w:hAnsi="Calibri" w:cs="Calibri"/>
                <w:szCs w:val="21"/>
                <w:lang w:val="nl-NL"/>
              </w:rPr>
              <w:t>.K)</w:t>
            </w:r>
          </w:p>
        </w:tc>
      </w:tr>
      <w:tr w:rsidR="00C05864" w:rsidRPr="0003216F" w14:paraId="22B79886" w14:textId="77777777" w:rsidTr="000A5D3A">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5DD43E"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 xml:space="preserve">Pipe thermal conductivity </w:t>
            </w:r>
          </w:p>
        </w:tc>
        <w:tc>
          <w:tcPr>
            <w:tcW w:w="0" w:type="auto"/>
            <w:noWrap/>
            <w:hideMark/>
          </w:tcPr>
          <w:p w14:paraId="13A45758" w14:textId="13ABB38B" w:rsidR="00C05864" w:rsidRPr="0003216F" w:rsidRDefault="00C05864" w:rsidP="00202C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0.</w:t>
            </w:r>
            <w:r w:rsidR="004E1E61">
              <w:rPr>
                <w:rFonts w:ascii="Calibri" w:eastAsia="Times New Roman" w:hAnsi="Calibri" w:cs="Calibri"/>
                <w:szCs w:val="21"/>
                <w:lang w:val="nl-NL"/>
              </w:rPr>
              <w:t>4</w:t>
            </w:r>
            <w:r w:rsidRPr="0003216F">
              <w:rPr>
                <w:rFonts w:ascii="Calibri" w:eastAsia="Times New Roman" w:hAnsi="Calibri" w:cs="Calibri"/>
                <w:szCs w:val="21"/>
                <w:lang w:val="nl-NL"/>
              </w:rPr>
              <w:t xml:space="preserve"> W/(m.K)</w:t>
            </w:r>
          </w:p>
        </w:tc>
      </w:tr>
      <w:tr w:rsidR="00C05864" w:rsidRPr="00E818CF" w14:paraId="6A3ECA76" w14:textId="77777777" w:rsidTr="000A5D3A">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8630014"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 xml:space="preserve">Grout thermal capacity </w:t>
            </w:r>
          </w:p>
        </w:tc>
        <w:tc>
          <w:tcPr>
            <w:tcW w:w="0" w:type="auto"/>
            <w:noWrap/>
            <w:hideMark/>
          </w:tcPr>
          <w:p w14:paraId="0906F056" w14:textId="2E816148" w:rsidR="00C05864" w:rsidRPr="00E818CF" w:rsidRDefault="00C05864" w:rsidP="00202C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1"/>
                <w:lang w:val="nb-NO"/>
              </w:rPr>
            </w:pPr>
            <w:r w:rsidRPr="0003216F">
              <w:rPr>
                <w:rFonts w:ascii="Calibri" w:eastAsia="Times New Roman" w:hAnsi="Calibri" w:cs="Calibri"/>
                <w:szCs w:val="21"/>
                <w:lang w:val="nl-NL"/>
              </w:rPr>
              <w:t>3.</w:t>
            </w:r>
            <w:r w:rsidR="00E818CF">
              <w:rPr>
                <w:rFonts w:ascii="Calibri" w:eastAsia="Times New Roman" w:hAnsi="Calibri" w:cs="Calibri"/>
                <w:szCs w:val="21"/>
                <w:lang w:val="nl-NL"/>
              </w:rPr>
              <w:t>2e</w:t>
            </w:r>
            <w:r w:rsidRPr="0003216F">
              <w:rPr>
                <w:rFonts w:ascii="Calibri" w:eastAsia="Times New Roman" w:hAnsi="Calibri" w:cs="Calibri"/>
                <w:szCs w:val="21"/>
                <w:vertAlign w:val="superscript"/>
                <w:lang w:val="nl-NL"/>
              </w:rPr>
              <w:t>6</w:t>
            </w:r>
            <w:r w:rsidRPr="0003216F">
              <w:rPr>
                <w:rFonts w:ascii="Calibri" w:eastAsia="Times New Roman" w:hAnsi="Calibri" w:cs="Calibri"/>
                <w:szCs w:val="21"/>
                <w:lang w:val="nl-NL"/>
              </w:rPr>
              <w:t xml:space="preserve"> J/(m</w:t>
            </w:r>
            <w:r w:rsidRPr="0003216F">
              <w:rPr>
                <w:rFonts w:ascii="Calibri" w:eastAsia="Times New Roman" w:hAnsi="Calibri" w:cs="Calibri"/>
                <w:szCs w:val="21"/>
                <w:vertAlign w:val="superscript"/>
                <w:lang w:val="nl-NL"/>
              </w:rPr>
              <w:t>3</w:t>
            </w:r>
            <w:r w:rsidRPr="0003216F">
              <w:rPr>
                <w:rFonts w:ascii="Calibri" w:eastAsia="Times New Roman" w:hAnsi="Calibri" w:cs="Calibri"/>
                <w:szCs w:val="21"/>
                <w:lang w:val="nl-NL"/>
              </w:rPr>
              <w:t>.K)</w:t>
            </w:r>
          </w:p>
        </w:tc>
      </w:tr>
      <w:tr w:rsidR="00C05864" w:rsidRPr="0003216F" w14:paraId="03368756" w14:textId="77777777" w:rsidTr="000A5D3A">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EA0C0E"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 xml:space="preserve">Grout thermal conductivity </w:t>
            </w:r>
          </w:p>
        </w:tc>
        <w:tc>
          <w:tcPr>
            <w:tcW w:w="0" w:type="auto"/>
            <w:noWrap/>
            <w:hideMark/>
          </w:tcPr>
          <w:p w14:paraId="7EDD19DF" w14:textId="42B85908" w:rsidR="00C05864" w:rsidRPr="0003216F" w:rsidRDefault="00E818CF" w:rsidP="00202C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rPr>
            </w:pPr>
            <w:r>
              <w:rPr>
                <w:rFonts w:ascii="Calibri" w:eastAsia="Times New Roman" w:hAnsi="Calibri" w:cs="Calibri"/>
                <w:szCs w:val="21"/>
                <w:lang w:val="nl-NL"/>
              </w:rPr>
              <w:t>2</w:t>
            </w:r>
            <w:r w:rsidR="00C05864" w:rsidRPr="0003216F">
              <w:rPr>
                <w:rFonts w:ascii="Calibri" w:eastAsia="Times New Roman" w:hAnsi="Calibri" w:cs="Calibri"/>
                <w:szCs w:val="21"/>
                <w:lang w:val="nl-NL"/>
              </w:rPr>
              <w:t>.</w:t>
            </w:r>
            <w:r>
              <w:rPr>
                <w:rFonts w:ascii="Calibri" w:eastAsia="Times New Roman" w:hAnsi="Calibri" w:cs="Calibri"/>
                <w:szCs w:val="21"/>
                <w:lang w:val="nl-NL"/>
              </w:rPr>
              <w:t>09</w:t>
            </w:r>
            <w:r w:rsidR="00C05864" w:rsidRPr="0003216F">
              <w:rPr>
                <w:rFonts w:ascii="Calibri" w:eastAsia="Times New Roman" w:hAnsi="Calibri" w:cs="Calibri"/>
                <w:szCs w:val="21"/>
                <w:lang w:val="nl-NL"/>
              </w:rPr>
              <w:t xml:space="preserve"> W/(m.K)</w:t>
            </w:r>
          </w:p>
        </w:tc>
      </w:tr>
      <w:tr w:rsidR="00C05864" w:rsidRPr="0003216F" w14:paraId="519C62B9" w14:textId="77777777" w:rsidTr="000A5D3A">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DF2A384"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 xml:space="preserve">Ground thermal capacity </w:t>
            </w:r>
          </w:p>
        </w:tc>
        <w:tc>
          <w:tcPr>
            <w:tcW w:w="0" w:type="auto"/>
            <w:noWrap/>
            <w:hideMark/>
          </w:tcPr>
          <w:p w14:paraId="4077DE6A" w14:textId="5EA9559B" w:rsidR="00C05864" w:rsidRPr="0003216F" w:rsidRDefault="00C05864" w:rsidP="00202C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3</w:t>
            </w:r>
            <m:oMath>
              <m:r>
                <w:rPr>
                  <w:rFonts w:ascii="Cambria Math" w:eastAsia="Times New Roman" w:hAnsi="Cambria Math" w:cs="Calibri"/>
                  <w:szCs w:val="21"/>
                  <w:lang w:val="nl-NL"/>
                </w:rPr>
                <m:t>∙</m:t>
              </m:r>
            </m:oMath>
            <w:r w:rsidR="00E818CF">
              <w:rPr>
                <w:rFonts w:ascii="Calibri" w:eastAsia="Times New Roman" w:hAnsi="Calibri" w:cs="Calibri"/>
                <w:szCs w:val="21"/>
                <w:lang w:val="nl-NL"/>
              </w:rPr>
              <w:t>2e</w:t>
            </w:r>
            <w:r w:rsidRPr="0003216F">
              <w:rPr>
                <w:rFonts w:ascii="Calibri" w:eastAsia="Times New Roman" w:hAnsi="Calibri" w:cs="Calibri"/>
                <w:szCs w:val="21"/>
                <w:vertAlign w:val="superscript"/>
                <w:lang w:val="nl-NL"/>
              </w:rPr>
              <w:t>6</w:t>
            </w:r>
            <w:r w:rsidRPr="0003216F">
              <w:rPr>
                <w:rFonts w:ascii="Calibri" w:eastAsia="Times New Roman" w:hAnsi="Calibri" w:cs="Calibri"/>
                <w:szCs w:val="21"/>
                <w:lang w:val="nl-NL"/>
              </w:rPr>
              <w:t xml:space="preserve"> J/(m</w:t>
            </w:r>
            <w:r w:rsidRPr="0003216F">
              <w:rPr>
                <w:rFonts w:ascii="Calibri" w:eastAsia="Times New Roman" w:hAnsi="Calibri" w:cs="Calibri"/>
                <w:szCs w:val="21"/>
                <w:vertAlign w:val="superscript"/>
                <w:lang w:val="nl-NL"/>
              </w:rPr>
              <w:t>3</w:t>
            </w:r>
            <w:r w:rsidRPr="0003216F">
              <w:rPr>
                <w:rFonts w:ascii="Calibri" w:eastAsia="Times New Roman" w:hAnsi="Calibri" w:cs="Calibri"/>
                <w:szCs w:val="21"/>
                <w:lang w:val="nl-NL"/>
              </w:rPr>
              <w:t>.K)</w:t>
            </w:r>
          </w:p>
        </w:tc>
      </w:tr>
      <w:tr w:rsidR="00C05864" w:rsidRPr="0003216F" w14:paraId="66E94080" w14:textId="77777777" w:rsidTr="000A5D3A">
        <w:trPr>
          <w:trHeight w:val="30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84215B" w14:textId="77777777" w:rsidR="00C05864" w:rsidRPr="0003216F" w:rsidRDefault="00C05864" w:rsidP="00202C99">
            <w:pPr>
              <w:jc w:val="center"/>
              <w:rPr>
                <w:rFonts w:ascii="Calibri" w:eastAsia="Times New Roman" w:hAnsi="Calibri" w:cs="Calibri"/>
                <w:szCs w:val="21"/>
              </w:rPr>
            </w:pPr>
            <w:r w:rsidRPr="0003216F">
              <w:rPr>
                <w:rFonts w:ascii="Calibri" w:eastAsia="Times New Roman" w:hAnsi="Calibri" w:cs="Calibri"/>
                <w:szCs w:val="21"/>
                <w:lang w:val="nl-NL"/>
              </w:rPr>
              <w:t xml:space="preserve">Ground thermal conductivity </w:t>
            </w:r>
          </w:p>
        </w:tc>
        <w:tc>
          <w:tcPr>
            <w:tcW w:w="0" w:type="auto"/>
            <w:noWrap/>
            <w:hideMark/>
          </w:tcPr>
          <w:p w14:paraId="23008B35" w14:textId="15FBF53C" w:rsidR="00C05864" w:rsidRPr="0003216F" w:rsidRDefault="00C05864" w:rsidP="00202C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rPr>
            </w:pPr>
            <w:r w:rsidRPr="0003216F">
              <w:rPr>
                <w:rFonts w:ascii="Calibri" w:eastAsia="Times New Roman" w:hAnsi="Calibri" w:cs="Calibri"/>
                <w:szCs w:val="21"/>
                <w:lang w:val="nl-NL"/>
              </w:rPr>
              <w:t>2</w:t>
            </w:r>
            <w:r w:rsidR="00E818CF">
              <w:rPr>
                <w:rFonts w:ascii="Calibri" w:eastAsia="Times New Roman" w:hAnsi="Calibri" w:cs="Calibri"/>
                <w:szCs w:val="21"/>
                <w:lang w:val="nl-NL"/>
              </w:rPr>
              <w:t>.09</w:t>
            </w:r>
            <w:r w:rsidRPr="0003216F">
              <w:rPr>
                <w:rFonts w:ascii="Calibri" w:eastAsia="Times New Roman" w:hAnsi="Calibri" w:cs="Calibri"/>
                <w:szCs w:val="21"/>
                <w:lang w:val="nl-NL"/>
              </w:rPr>
              <w:t xml:space="preserve"> W/(m.K)</w:t>
            </w:r>
          </w:p>
        </w:tc>
      </w:tr>
    </w:tbl>
    <w:p w14:paraId="3698AC43" w14:textId="77777777" w:rsidR="00C05864" w:rsidRDefault="00C05864" w:rsidP="00C05864">
      <w:pPr>
        <w:pStyle w:val="BodyChar"/>
        <w:rPr>
          <w:rFonts w:ascii="Times New Roman" w:hAnsi="Times New Roman"/>
        </w:rPr>
      </w:pPr>
    </w:p>
    <w:p w14:paraId="78671ED4" w14:textId="0A09BA27" w:rsidR="00C05864" w:rsidRDefault="00C05864" w:rsidP="00500048">
      <w:pPr>
        <w:pStyle w:val="BodyChar"/>
        <w:rPr>
          <w:rFonts w:ascii="Times New Roman" w:hAnsi="Times New Roman"/>
        </w:rPr>
      </w:pPr>
      <w:r w:rsidRPr="00C05864">
        <w:rPr>
          <w:rFonts w:ascii="Times New Roman" w:hAnsi="Times New Roman"/>
        </w:rPr>
        <w:t xml:space="preserve">A 4-day measurement data period (from September 13th to 16th, 2005) during the GSHP system's cooling mode operation has been selected for validation. </w:t>
      </w:r>
      <w:r w:rsidRPr="00D46ED8">
        <w:rPr>
          <w:rFonts w:ascii="Times New Roman" w:hAnsi="Times New Roman"/>
        </w:rPr>
        <w:t xml:space="preserve">The </w:t>
      </w:r>
      <w:r w:rsidR="00D46ED8" w:rsidRPr="00D46ED8">
        <w:rPr>
          <w:rFonts w:ascii="Times New Roman" w:hAnsi="Times New Roman"/>
        </w:rPr>
        <w:fldChar w:fldCharType="begin"/>
      </w:r>
      <w:r w:rsidR="00D46ED8" w:rsidRPr="00D46ED8">
        <w:rPr>
          <w:rFonts w:ascii="Times New Roman" w:hAnsi="Times New Roman"/>
        </w:rPr>
        <w:instrText xml:space="preserve"> REF _Ref146734957 \h  \* MERGEFORMAT </w:instrText>
      </w:r>
      <w:r w:rsidR="00D46ED8" w:rsidRPr="00D46ED8">
        <w:rPr>
          <w:rFonts w:ascii="Times New Roman" w:hAnsi="Times New Roman"/>
        </w:rPr>
      </w:r>
      <w:r w:rsidR="00D46ED8" w:rsidRPr="00D46ED8">
        <w:rPr>
          <w:rFonts w:ascii="Times New Roman" w:hAnsi="Times New Roman"/>
        </w:rPr>
        <w:fldChar w:fldCharType="separate"/>
      </w:r>
      <w:r w:rsidR="002B44BC" w:rsidRPr="002B44BC">
        <w:rPr>
          <w:rFonts w:ascii="Times New Roman" w:hAnsi="Times New Roman" w:cs="Times New Roman"/>
          <w:color w:val="auto"/>
          <w:sz w:val="24"/>
          <w:szCs w:val="24"/>
        </w:rPr>
        <w:t xml:space="preserve">Figure </w:t>
      </w:r>
      <w:r w:rsidR="002B44BC" w:rsidRPr="002B44BC">
        <w:rPr>
          <w:rFonts w:ascii="Times New Roman" w:hAnsi="Times New Roman" w:cs="Times New Roman"/>
          <w:noProof/>
          <w:color w:val="auto"/>
          <w:sz w:val="24"/>
          <w:szCs w:val="24"/>
        </w:rPr>
        <w:t>4</w:t>
      </w:r>
      <w:r w:rsidR="00D46ED8" w:rsidRPr="00D46ED8">
        <w:rPr>
          <w:rFonts w:ascii="Times New Roman" w:hAnsi="Times New Roman"/>
        </w:rPr>
        <w:fldChar w:fldCharType="end"/>
      </w:r>
      <w:r w:rsidRPr="00D46ED8">
        <w:rPr>
          <w:rFonts w:ascii="Times New Roman" w:hAnsi="Times New Roman"/>
        </w:rPr>
        <w:t xml:space="preserve"> illustrates</w:t>
      </w:r>
      <w:r w:rsidRPr="00C05864">
        <w:rPr>
          <w:rFonts w:ascii="Times New Roman" w:hAnsi="Times New Roman"/>
        </w:rPr>
        <w:t xml:space="preserve"> two boundary conditions for validation: the borehole heat exchanger 's inlet temperature and flow rate. The continuous stop-start intervals of the GSHP operation can also be observed through the flow rate of the borehole heat exchanger. The accuracy of developed model is established by comparing the predicted borehole heat exchanger outlet temperature with the measured data. The comparison result is represented in the </w:t>
      </w:r>
      <w:r w:rsidR="00BD7D14" w:rsidRPr="00BD7D14">
        <w:rPr>
          <w:rFonts w:ascii="Times New Roman" w:hAnsi="Times New Roman"/>
        </w:rPr>
        <w:fldChar w:fldCharType="begin"/>
      </w:r>
      <w:r w:rsidR="00BD7D14" w:rsidRPr="00BD7D14">
        <w:rPr>
          <w:rFonts w:ascii="Times New Roman" w:hAnsi="Times New Roman"/>
        </w:rPr>
        <w:instrText xml:space="preserve"> REF _Ref146734957 \h  \* MERGEFORMAT </w:instrText>
      </w:r>
      <w:r w:rsidR="00BD7D14" w:rsidRPr="00BD7D14">
        <w:rPr>
          <w:rFonts w:ascii="Times New Roman" w:hAnsi="Times New Roman"/>
        </w:rPr>
      </w:r>
      <w:r w:rsidR="00BD7D14" w:rsidRPr="00BD7D14">
        <w:rPr>
          <w:rFonts w:ascii="Times New Roman" w:hAnsi="Times New Roman"/>
        </w:rPr>
        <w:fldChar w:fldCharType="separate"/>
      </w:r>
      <w:r w:rsidR="002B44BC" w:rsidRPr="002B44BC">
        <w:rPr>
          <w:rFonts w:ascii="Times New Roman" w:hAnsi="Times New Roman" w:cs="Times New Roman"/>
          <w:color w:val="auto"/>
          <w:sz w:val="24"/>
          <w:szCs w:val="24"/>
        </w:rPr>
        <w:t xml:space="preserve">Figure </w:t>
      </w:r>
      <w:r w:rsidR="002B44BC" w:rsidRPr="002B44BC">
        <w:rPr>
          <w:rFonts w:ascii="Times New Roman" w:hAnsi="Times New Roman"/>
          <w:noProof/>
          <w:color w:val="auto"/>
          <w:sz w:val="24"/>
          <w:szCs w:val="24"/>
        </w:rPr>
        <w:t>4</w:t>
      </w:r>
      <w:r w:rsidR="00BD7D14" w:rsidRPr="00BD7D14">
        <w:rPr>
          <w:rFonts w:ascii="Times New Roman" w:hAnsi="Times New Roman"/>
        </w:rPr>
        <w:fldChar w:fldCharType="end"/>
      </w:r>
      <w:r w:rsidRPr="00C05864">
        <w:rPr>
          <w:rFonts w:ascii="Times New Roman" w:hAnsi="Times New Roman"/>
        </w:rPr>
        <w:t>, indicating a good agreement between the model's predictions and the actual measurements. During the off periods of the GSHP system, some deviations are observed, however, these have no impact on the calculation of the GSHP system's heating capacity and energy consumption. Excluding these off periods, a statistical analysis yields a low MAPE of 2.81% when comparing the measured and simulated outlet temperatures.</w:t>
      </w:r>
    </w:p>
    <w:p w14:paraId="46F38D2B" w14:textId="344C9C16" w:rsidR="00D46ED8" w:rsidRPr="00195993" w:rsidRDefault="00195993" w:rsidP="00195993">
      <w:pPr>
        <w:pStyle w:val="BodyChar"/>
        <w:rPr>
          <w:rFonts w:ascii="Times New Roman" w:hAnsi="Times New Roman"/>
        </w:rPr>
      </w:pPr>
      <w:r>
        <w:rPr>
          <w:rFonts w:ascii="Times New Roman" w:hAnsi="Times New Roman"/>
          <w:noProof/>
        </w:rPr>
        <w:lastRenderedPageBreak/>
        <w:drawing>
          <wp:inline distT="0" distB="0" distL="0" distR="0" wp14:anchorId="5A0A8633" wp14:editId="4BB68657">
            <wp:extent cx="5760085" cy="2719705"/>
            <wp:effectExtent l="0" t="0" r="5715" b="0"/>
            <wp:docPr id="934459425"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59425" name="Graphic 934459425"/>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60085" cy="2719705"/>
                    </a:xfrm>
                    <a:prstGeom prst="rect">
                      <a:avLst/>
                    </a:prstGeom>
                  </pic:spPr>
                </pic:pic>
              </a:graphicData>
            </a:graphic>
          </wp:inline>
        </w:drawing>
      </w:r>
    </w:p>
    <w:p w14:paraId="673DFC3E" w14:textId="4F431F3C" w:rsidR="00C05864" w:rsidRPr="00C2262A" w:rsidRDefault="00D46ED8" w:rsidP="00C2262A">
      <w:pPr>
        <w:pStyle w:val="Caption"/>
        <w:jc w:val="center"/>
        <w:rPr>
          <w:rFonts w:ascii="Times New Roman" w:hAnsi="Times New Roman"/>
          <w:i w:val="0"/>
          <w:iCs w:val="0"/>
          <w:color w:val="auto"/>
          <w:sz w:val="24"/>
          <w:szCs w:val="24"/>
        </w:rPr>
      </w:pPr>
      <w:bookmarkStart w:id="6" w:name="_Ref146734957"/>
      <w:r w:rsidRPr="00D46ED8">
        <w:rPr>
          <w:rFonts w:ascii="Times New Roman" w:hAnsi="Times New Roman"/>
          <w:b/>
          <w:bCs/>
          <w:i w:val="0"/>
          <w:iCs w:val="0"/>
          <w:color w:val="auto"/>
          <w:sz w:val="24"/>
          <w:szCs w:val="24"/>
        </w:rPr>
        <w:t xml:space="preserve">Figure </w:t>
      </w:r>
      <w:r w:rsidRPr="00D46ED8">
        <w:rPr>
          <w:rFonts w:ascii="Times New Roman" w:hAnsi="Times New Roman"/>
          <w:b/>
          <w:bCs/>
          <w:i w:val="0"/>
          <w:iCs w:val="0"/>
          <w:color w:val="auto"/>
          <w:sz w:val="24"/>
          <w:szCs w:val="24"/>
        </w:rPr>
        <w:fldChar w:fldCharType="begin"/>
      </w:r>
      <w:r w:rsidRPr="00D46ED8">
        <w:rPr>
          <w:rFonts w:ascii="Times New Roman" w:hAnsi="Times New Roman"/>
          <w:b/>
          <w:bCs/>
          <w:i w:val="0"/>
          <w:iCs w:val="0"/>
          <w:color w:val="auto"/>
          <w:sz w:val="24"/>
          <w:szCs w:val="24"/>
        </w:rPr>
        <w:instrText xml:space="preserve"> SEQ Figure \* ARABIC </w:instrText>
      </w:r>
      <w:r w:rsidRPr="00D46ED8">
        <w:rPr>
          <w:rFonts w:ascii="Times New Roman" w:hAnsi="Times New Roman"/>
          <w:b/>
          <w:bCs/>
          <w:i w:val="0"/>
          <w:iCs w:val="0"/>
          <w:color w:val="auto"/>
          <w:sz w:val="24"/>
          <w:szCs w:val="24"/>
        </w:rPr>
        <w:fldChar w:fldCharType="separate"/>
      </w:r>
      <w:r w:rsidR="002B44BC">
        <w:rPr>
          <w:rFonts w:ascii="Times New Roman" w:hAnsi="Times New Roman"/>
          <w:b/>
          <w:bCs/>
          <w:i w:val="0"/>
          <w:iCs w:val="0"/>
          <w:noProof/>
          <w:color w:val="auto"/>
          <w:sz w:val="24"/>
          <w:szCs w:val="24"/>
        </w:rPr>
        <w:t>4</w:t>
      </w:r>
      <w:r w:rsidRPr="00D46ED8">
        <w:rPr>
          <w:rFonts w:ascii="Times New Roman" w:hAnsi="Times New Roman"/>
          <w:b/>
          <w:bCs/>
          <w:i w:val="0"/>
          <w:iCs w:val="0"/>
          <w:color w:val="auto"/>
          <w:sz w:val="24"/>
          <w:szCs w:val="24"/>
        </w:rPr>
        <w:fldChar w:fldCharType="end"/>
      </w:r>
      <w:bookmarkEnd w:id="6"/>
      <w:r w:rsidRPr="00D46ED8">
        <w:rPr>
          <w:rFonts w:ascii="Times New Roman" w:hAnsi="Times New Roman"/>
          <w:i w:val="0"/>
          <w:iCs w:val="0"/>
          <w:color w:val="auto"/>
          <w:sz w:val="24"/>
          <w:szCs w:val="24"/>
        </w:rPr>
        <w:t>. Validation of borehole heat exchanger model</w:t>
      </w:r>
    </w:p>
    <w:p w14:paraId="26C224A2" w14:textId="515AEBDA" w:rsidR="00C05864" w:rsidRDefault="00C05864" w:rsidP="00500048">
      <w:pPr>
        <w:pStyle w:val="BodyChar"/>
        <w:rPr>
          <w:rFonts w:ascii="Times New Roman" w:hAnsi="Times New Roman"/>
        </w:rPr>
      </w:pPr>
      <w:r w:rsidRPr="00C05864">
        <w:rPr>
          <w:rFonts w:ascii="Times New Roman" w:hAnsi="Times New Roman"/>
        </w:rPr>
        <w:t xml:space="preserve">For </w:t>
      </w:r>
      <w:proofErr w:type="spellStart"/>
      <w:r w:rsidRPr="00C05864">
        <w:rPr>
          <w:rFonts w:ascii="Times New Roman" w:hAnsi="Times New Roman"/>
        </w:rPr>
        <w:t>modeling</w:t>
      </w:r>
      <w:proofErr w:type="spellEnd"/>
      <w:r w:rsidRPr="00C05864">
        <w:rPr>
          <w:rFonts w:ascii="Times New Roman" w:hAnsi="Times New Roman"/>
        </w:rPr>
        <w:t xml:space="preserve"> the brine to water heat pump, a regression model based on performance data obtained from manufacturers is employed. This regression model considers key input parameters: source side brine inlet temperature, brine flow rate, load side water inlet temperature, and water flow rate. With this model, power consumption and heat capacity can be predicted. </w:t>
      </w:r>
      <w:r w:rsidRPr="00F66A92">
        <w:rPr>
          <w:rFonts w:ascii="Times New Roman" w:hAnsi="Times New Roman"/>
          <w:color w:val="000000" w:themeColor="text1"/>
        </w:rPr>
        <w:t xml:space="preserve">To demonstrate the model's accuracy, a validation study has been conducted using a </w:t>
      </w:r>
      <w:proofErr w:type="gramStart"/>
      <w:r w:rsidRPr="00F66A92">
        <w:rPr>
          <w:rFonts w:ascii="Times New Roman" w:hAnsi="Times New Roman"/>
          <w:color w:val="000000" w:themeColor="text1"/>
        </w:rPr>
        <w:t>130 kW</w:t>
      </w:r>
      <w:proofErr w:type="gramEnd"/>
      <w:r w:rsidRPr="00F66A92">
        <w:rPr>
          <w:rFonts w:ascii="Times New Roman" w:hAnsi="Times New Roman"/>
          <w:color w:val="000000" w:themeColor="text1"/>
        </w:rPr>
        <w:t xml:space="preserve"> heat pump. </w:t>
      </w:r>
      <w:r w:rsidR="00CE095F" w:rsidRPr="00F66A92">
        <w:rPr>
          <w:rFonts w:ascii="Times New Roman" w:hAnsi="Times New Roman"/>
          <w:color w:val="000000" w:themeColor="text1"/>
        </w:rPr>
        <w:t xml:space="preserve">In </w:t>
      </w:r>
      <w:r w:rsidR="00DA6206" w:rsidRPr="00F66A92">
        <w:rPr>
          <w:rFonts w:ascii="Times New Roman" w:hAnsi="Times New Roman"/>
          <w:color w:val="000000" w:themeColor="text1"/>
        </w:rPr>
        <w:fldChar w:fldCharType="begin"/>
      </w:r>
      <w:r w:rsidR="00DA6206" w:rsidRPr="00F66A92">
        <w:rPr>
          <w:rFonts w:ascii="Times New Roman" w:hAnsi="Times New Roman"/>
          <w:color w:val="000000" w:themeColor="text1"/>
        </w:rPr>
        <w:instrText xml:space="preserve"> REF _Ref148607211 \h  \* MERGEFORMAT </w:instrText>
      </w:r>
      <w:r w:rsidR="00DA6206" w:rsidRPr="00F66A92">
        <w:rPr>
          <w:rFonts w:ascii="Times New Roman" w:hAnsi="Times New Roman"/>
          <w:color w:val="000000" w:themeColor="text1"/>
        </w:rPr>
      </w:r>
      <w:r w:rsidR="00DA6206" w:rsidRPr="00F66A92">
        <w:rPr>
          <w:rFonts w:ascii="Times New Roman" w:hAnsi="Times New Roman"/>
          <w:color w:val="000000" w:themeColor="text1"/>
        </w:rPr>
        <w:fldChar w:fldCharType="separate"/>
      </w:r>
      <w:r w:rsidR="002B44BC" w:rsidRPr="00F66A92">
        <w:rPr>
          <w:rFonts w:ascii="Times New Roman" w:hAnsi="Times New Roman"/>
          <w:color w:val="000000" w:themeColor="text1"/>
          <w:sz w:val="24"/>
          <w:szCs w:val="24"/>
        </w:rPr>
        <w:t xml:space="preserve">Figure </w:t>
      </w:r>
      <w:r w:rsidR="002B44BC" w:rsidRPr="00F66A92">
        <w:rPr>
          <w:rFonts w:ascii="Times New Roman" w:hAnsi="Times New Roman"/>
          <w:noProof/>
          <w:color w:val="000000" w:themeColor="text1"/>
          <w:sz w:val="24"/>
          <w:szCs w:val="24"/>
        </w:rPr>
        <w:t>5</w:t>
      </w:r>
      <w:r w:rsidR="00DA6206" w:rsidRPr="00F66A92">
        <w:rPr>
          <w:rFonts w:ascii="Times New Roman" w:hAnsi="Times New Roman"/>
          <w:color w:val="000000" w:themeColor="text1"/>
        </w:rPr>
        <w:fldChar w:fldCharType="end"/>
      </w:r>
      <w:r w:rsidR="00DA6206" w:rsidRPr="00F66A92">
        <w:rPr>
          <w:rFonts w:ascii="Times New Roman" w:hAnsi="Times New Roman"/>
          <w:color w:val="000000" w:themeColor="text1"/>
        </w:rPr>
        <w:t xml:space="preserve"> </w:t>
      </w:r>
      <w:r w:rsidR="00CE095F" w:rsidRPr="00F66A92">
        <w:rPr>
          <w:rFonts w:ascii="Times New Roman" w:hAnsi="Times New Roman"/>
          <w:color w:val="000000" w:themeColor="text1"/>
        </w:rPr>
        <w:t xml:space="preserve">and </w:t>
      </w:r>
      <w:r w:rsidR="00DA6206" w:rsidRPr="00F66A92">
        <w:rPr>
          <w:rFonts w:ascii="Times New Roman" w:hAnsi="Times New Roman"/>
          <w:color w:val="000000" w:themeColor="text1"/>
        </w:rPr>
        <w:fldChar w:fldCharType="begin"/>
      </w:r>
      <w:r w:rsidR="00DA6206" w:rsidRPr="00F66A92">
        <w:rPr>
          <w:rFonts w:ascii="Times New Roman" w:hAnsi="Times New Roman"/>
          <w:color w:val="000000" w:themeColor="text1"/>
        </w:rPr>
        <w:instrText xml:space="preserve"> REF _Ref148607226 \h  \* MERGEFORMAT </w:instrText>
      </w:r>
      <w:r w:rsidR="00DA6206" w:rsidRPr="00F66A92">
        <w:rPr>
          <w:rFonts w:ascii="Times New Roman" w:hAnsi="Times New Roman"/>
          <w:color w:val="000000" w:themeColor="text1"/>
        </w:rPr>
      </w:r>
      <w:r w:rsidR="00DA6206" w:rsidRPr="00F66A92">
        <w:rPr>
          <w:rFonts w:ascii="Times New Roman" w:hAnsi="Times New Roman"/>
          <w:color w:val="000000" w:themeColor="text1"/>
        </w:rPr>
        <w:fldChar w:fldCharType="separate"/>
      </w:r>
      <w:r w:rsidR="002B44BC" w:rsidRPr="00F66A92">
        <w:rPr>
          <w:rFonts w:ascii="Times New Roman" w:hAnsi="Times New Roman"/>
          <w:color w:val="000000" w:themeColor="text1"/>
          <w:sz w:val="24"/>
          <w:szCs w:val="24"/>
        </w:rPr>
        <w:t>Figure 6</w:t>
      </w:r>
      <w:r w:rsidR="00DA6206" w:rsidRPr="00F66A92">
        <w:rPr>
          <w:rFonts w:ascii="Times New Roman" w:hAnsi="Times New Roman"/>
          <w:color w:val="000000" w:themeColor="text1"/>
        </w:rPr>
        <w:fldChar w:fldCharType="end"/>
      </w:r>
      <w:r w:rsidR="00CE095F" w:rsidRPr="00F66A92">
        <w:rPr>
          <w:rFonts w:ascii="Times New Roman" w:hAnsi="Times New Roman"/>
          <w:color w:val="000000" w:themeColor="text1"/>
        </w:rPr>
        <w:t xml:space="preserve">, we present a comparative analysis of the simulation results and the </w:t>
      </w:r>
      <w:proofErr w:type="spellStart"/>
      <w:r w:rsidR="00CE095F" w:rsidRPr="00F66A92">
        <w:rPr>
          <w:rFonts w:ascii="Times New Roman" w:hAnsi="Times New Roman"/>
          <w:color w:val="000000" w:themeColor="text1"/>
        </w:rPr>
        <w:t>catalog</w:t>
      </w:r>
      <w:proofErr w:type="spellEnd"/>
      <w:r w:rsidR="00CE095F" w:rsidRPr="00F66A92">
        <w:rPr>
          <w:rFonts w:ascii="Times New Roman" w:hAnsi="Times New Roman"/>
          <w:color w:val="000000" w:themeColor="text1"/>
        </w:rPr>
        <w:t xml:space="preserve"> data concerning the heating capacity and power consumption of heat pump. The visual representation clearly indicates a close match between the simulation results obtained from the regression model and the </w:t>
      </w:r>
      <w:proofErr w:type="spellStart"/>
      <w:r w:rsidR="00CE095F" w:rsidRPr="00F66A92">
        <w:rPr>
          <w:rFonts w:ascii="Times New Roman" w:hAnsi="Times New Roman"/>
          <w:color w:val="000000" w:themeColor="text1"/>
        </w:rPr>
        <w:t>catalog</w:t>
      </w:r>
      <w:proofErr w:type="spellEnd"/>
      <w:r w:rsidR="00CE095F" w:rsidRPr="00F66A92">
        <w:rPr>
          <w:rFonts w:ascii="Times New Roman" w:hAnsi="Times New Roman"/>
          <w:color w:val="000000" w:themeColor="text1"/>
        </w:rPr>
        <w:t xml:space="preserve"> data, with a relative error of less than 5% for both heating capacity and power consumption. </w:t>
      </w:r>
      <w:r w:rsidRPr="00F66A92">
        <w:rPr>
          <w:rFonts w:ascii="Times New Roman" w:hAnsi="Times New Roman"/>
          <w:color w:val="000000" w:themeColor="text1"/>
        </w:rPr>
        <w:t xml:space="preserve">Detailed information can be </w:t>
      </w:r>
      <w:r w:rsidRPr="00552ADD">
        <w:rPr>
          <w:rFonts w:ascii="Times New Roman" w:hAnsi="Times New Roman"/>
        </w:rPr>
        <w:t>found in our previous publication [</w:t>
      </w:r>
      <w:r w:rsidR="00E9647C" w:rsidRPr="00552ADD">
        <w:rPr>
          <w:rFonts w:ascii="Times New Roman" w:hAnsi="Times New Roman"/>
        </w:rPr>
        <w:t>10</w:t>
      </w:r>
      <w:r w:rsidRPr="00552ADD">
        <w:rPr>
          <w:rFonts w:ascii="Times New Roman" w:hAnsi="Times New Roman"/>
        </w:rPr>
        <w:t>].</w:t>
      </w:r>
    </w:p>
    <w:p w14:paraId="1EA8B4CB" w14:textId="77777777" w:rsidR="00D46E24" w:rsidRDefault="00CE095F" w:rsidP="00D46E24">
      <w:pPr>
        <w:pStyle w:val="BodyChar"/>
        <w:keepNext/>
        <w:jc w:val="center"/>
      </w:pPr>
      <w:r>
        <w:rPr>
          <w:noProof/>
        </w:rPr>
        <w:drawing>
          <wp:inline distT="0" distB="0" distL="0" distR="0" wp14:anchorId="47F66D38" wp14:editId="53C8D682">
            <wp:extent cx="3717925" cy="2779395"/>
            <wp:effectExtent l="0" t="0" r="3175" b="1905"/>
            <wp:docPr id="1242969710" name="Chart 1">
              <a:extLst xmlns:a="http://schemas.openxmlformats.org/drawingml/2006/main">
                <a:ext uri="{FF2B5EF4-FFF2-40B4-BE49-F238E27FC236}">
                  <a16:creationId xmlns:a16="http://schemas.microsoft.com/office/drawing/2014/main" id="{322987D5-BE2A-4A8E-ACA6-7B9FCFC1C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55DFC6" w14:textId="5AFDE85A" w:rsidR="00CE095F" w:rsidRPr="00D46E24" w:rsidRDefault="00D46E24" w:rsidP="00D46E24">
      <w:pPr>
        <w:pStyle w:val="Caption"/>
        <w:jc w:val="center"/>
        <w:rPr>
          <w:rFonts w:ascii="Times New Roman" w:hAnsi="Times New Roman"/>
          <w:b/>
          <w:bCs/>
          <w:i w:val="0"/>
          <w:iCs w:val="0"/>
          <w:color w:val="auto"/>
          <w:sz w:val="24"/>
          <w:szCs w:val="24"/>
        </w:rPr>
      </w:pPr>
      <w:bookmarkStart w:id="7" w:name="_Ref148607211"/>
      <w:r w:rsidRPr="00D46E24">
        <w:rPr>
          <w:rFonts w:ascii="Times New Roman" w:hAnsi="Times New Roman"/>
          <w:b/>
          <w:bCs/>
          <w:i w:val="0"/>
          <w:iCs w:val="0"/>
          <w:color w:val="auto"/>
          <w:sz w:val="24"/>
          <w:szCs w:val="24"/>
        </w:rPr>
        <w:t xml:space="preserve">Figure </w:t>
      </w:r>
      <w:r w:rsidRPr="00D46E24">
        <w:rPr>
          <w:rFonts w:ascii="Times New Roman" w:hAnsi="Times New Roman"/>
          <w:b/>
          <w:bCs/>
          <w:i w:val="0"/>
          <w:iCs w:val="0"/>
          <w:color w:val="auto"/>
          <w:sz w:val="24"/>
          <w:szCs w:val="24"/>
        </w:rPr>
        <w:fldChar w:fldCharType="begin"/>
      </w:r>
      <w:r w:rsidRPr="00D46E24">
        <w:rPr>
          <w:rFonts w:ascii="Times New Roman" w:hAnsi="Times New Roman"/>
          <w:b/>
          <w:bCs/>
          <w:i w:val="0"/>
          <w:iCs w:val="0"/>
          <w:color w:val="auto"/>
          <w:sz w:val="24"/>
          <w:szCs w:val="24"/>
        </w:rPr>
        <w:instrText xml:space="preserve"> SEQ Figure \* ARABIC </w:instrText>
      </w:r>
      <w:r w:rsidRPr="00D46E24">
        <w:rPr>
          <w:rFonts w:ascii="Times New Roman" w:hAnsi="Times New Roman"/>
          <w:b/>
          <w:bCs/>
          <w:i w:val="0"/>
          <w:iCs w:val="0"/>
          <w:color w:val="auto"/>
          <w:sz w:val="24"/>
          <w:szCs w:val="24"/>
        </w:rPr>
        <w:fldChar w:fldCharType="separate"/>
      </w:r>
      <w:r w:rsidR="002B44BC">
        <w:rPr>
          <w:rFonts w:ascii="Times New Roman" w:hAnsi="Times New Roman"/>
          <w:b/>
          <w:bCs/>
          <w:i w:val="0"/>
          <w:iCs w:val="0"/>
          <w:noProof/>
          <w:color w:val="auto"/>
          <w:sz w:val="24"/>
          <w:szCs w:val="24"/>
        </w:rPr>
        <w:t>5</w:t>
      </w:r>
      <w:r w:rsidRPr="00D46E24">
        <w:rPr>
          <w:rFonts w:ascii="Times New Roman" w:hAnsi="Times New Roman"/>
          <w:b/>
          <w:bCs/>
          <w:i w:val="0"/>
          <w:iCs w:val="0"/>
          <w:color w:val="auto"/>
          <w:sz w:val="24"/>
          <w:szCs w:val="24"/>
        </w:rPr>
        <w:fldChar w:fldCharType="end"/>
      </w:r>
      <w:bookmarkEnd w:id="7"/>
      <w:r>
        <w:rPr>
          <w:rFonts w:ascii="Times New Roman" w:hAnsi="Times New Roman"/>
          <w:b/>
          <w:bCs/>
          <w:i w:val="0"/>
          <w:iCs w:val="0"/>
          <w:color w:val="auto"/>
          <w:sz w:val="24"/>
          <w:szCs w:val="24"/>
        </w:rPr>
        <w:t>.</w:t>
      </w:r>
      <w:r w:rsidRPr="00D46E24">
        <w:rPr>
          <w:rFonts w:ascii="Times New Roman" w:hAnsi="Times New Roman"/>
          <w:b/>
          <w:bCs/>
          <w:i w:val="0"/>
          <w:iCs w:val="0"/>
          <w:color w:val="auto"/>
          <w:sz w:val="24"/>
          <w:szCs w:val="24"/>
        </w:rPr>
        <w:t xml:space="preserve"> </w:t>
      </w:r>
      <w:r w:rsidRPr="00D46E24">
        <w:rPr>
          <w:rFonts w:ascii="Times New Roman" w:hAnsi="Times New Roman"/>
          <w:i w:val="0"/>
          <w:iCs w:val="0"/>
          <w:color w:val="auto"/>
          <w:sz w:val="24"/>
          <w:szCs w:val="24"/>
        </w:rPr>
        <w:t>Validation of heating capacity of heat pump</w:t>
      </w:r>
    </w:p>
    <w:p w14:paraId="1E6BDB2F" w14:textId="78E0EC7F" w:rsidR="00CE095F" w:rsidRDefault="00CE095F" w:rsidP="00CE095F">
      <w:pPr>
        <w:pStyle w:val="BodyChar"/>
        <w:jc w:val="center"/>
        <w:rPr>
          <w:rFonts w:ascii="Times New Roman" w:hAnsi="Times New Roman"/>
        </w:rPr>
      </w:pPr>
    </w:p>
    <w:p w14:paraId="5A5E506A" w14:textId="77777777" w:rsidR="00CE095F" w:rsidRDefault="00CE095F" w:rsidP="00CE095F">
      <w:pPr>
        <w:pStyle w:val="BodyChar"/>
        <w:jc w:val="center"/>
        <w:rPr>
          <w:rFonts w:ascii="Times New Roman" w:hAnsi="Times New Roman"/>
        </w:rPr>
      </w:pPr>
    </w:p>
    <w:p w14:paraId="1EF37A21" w14:textId="77777777" w:rsidR="00D46E24" w:rsidRDefault="00CE095F" w:rsidP="00D46E24">
      <w:pPr>
        <w:pStyle w:val="BodyChar"/>
        <w:keepNext/>
        <w:jc w:val="center"/>
      </w:pPr>
      <w:r>
        <w:rPr>
          <w:noProof/>
        </w:rPr>
        <w:lastRenderedPageBreak/>
        <w:drawing>
          <wp:inline distT="0" distB="0" distL="0" distR="0" wp14:anchorId="39AA3004" wp14:editId="5100E085">
            <wp:extent cx="3790950" cy="3165475"/>
            <wp:effectExtent l="0" t="0" r="0" b="0"/>
            <wp:docPr id="1401280265" name="Chart 1">
              <a:extLst xmlns:a="http://schemas.openxmlformats.org/drawingml/2006/main">
                <a:ext uri="{FF2B5EF4-FFF2-40B4-BE49-F238E27FC236}">
                  <a16:creationId xmlns:a16="http://schemas.microsoft.com/office/drawing/2014/main" id="{A8F03A5E-091F-4EC8-B1D8-AC08BAB01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4A8F01" w14:textId="2255D810" w:rsidR="00CE095F" w:rsidRPr="00C103DB" w:rsidRDefault="00D46E24" w:rsidP="00C103DB">
      <w:pPr>
        <w:pStyle w:val="Caption"/>
        <w:jc w:val="center"/>
        <w:rPr>
          <w:rFonts w:ascii="Times New Roman" w:hAnsi="Times New Roman"/>
          <w:b/>
          <w:bCs/>
          <w:i w:val="0"/>
          <w:iCs w:val="0"/>
          <w:color w:val="auto"/>
          <w:sz w:val="24"/>
          <w:szCs w:val="24"/>
        </w:rPr>
      </w:pPr>
      <w:bookmarkStart w:id="8" w:name="_Ref148607226"/>
      <w:r w:rsidRPr="00D46E24">
        <w:rPr>
          <w:rFonts w:ascii="Times New Roman" w:hAnsi="Times New Roman"/>
          <w:b/>
          <w:bCs/>
          <w:i w:val="0"/>
          <w:iCs w:val="0"/>
          <w:color w:val="auto"/>
          <w:sz w:val="24"/>
          <w:szCs w:val="24"/>
        </w:rPr>
        <w:t xml:space="preserve">Figure </w:t>
      </w:r>
      <w:r w:rsidRPr="00D46E24">
        <w:rPr>
          <w:rFonts w:ascii="Times New Roman" w:hAnsi="Times New Roman"/>
          <w:b/>
          <w:bCs/>
          <w:i w:val="0"/>
          <w:iCs w:val="0"/>
          <w:color w:val="auto"/>
          <w:sz w:val="24"/>
          <w:szCs w:val="24"/>
        </w:rPr>
        <w:fldChar w:fldCharType="begin"/>
      </w:r>
      <w:r w:rsidRPr="00D46E24">
        <w:rPr>
          <w:rFonts w:ascii="Times New Roman" w:hAnsi="Times New Roman"/>
          <w:b/>
          <w:bCs/>
          <w:i w:val="0"/>
          <w:iCs w:val="0"/>
          <w:color w:val="auto"/>
          <w:sz w:val="24"/>
          <w:szCs w:val="24"/>
        </w:rPr>
        <w:instrText xml:space="preserve"> SEQ Figure \* ARABIC </w:instrText>
      </w:r>
      <w:r w:rsidRPr="00D46E24">
        <w:rPr>
          <w:rFonts w:ascii="Times New Roman" w:hAnsi="Times New Roman"/>
          <w:b/>
          <w:bCs/>
          <w:i w:val="0"/>
          <w:iCs w:val="0"/>
          <w:color w:val="auto"/>
          <w:sz w:val="24"/>
          <w:szCs w:val="24"/>
        </w:rPr>
        <w:fldChar w:fldCharType="separate"/>
      </w:r>
      <w:r w:rsidR="002B44BC">
        <w:rPr>
          <w:rFonts w:ascii="Times New Roman" w:hAnsi="Times New Roman"/>
          <w:b/>
          <w:bCs/>
          <w:i w:val="0"/>
          <w:iCs w:val="0"/>
          <w:noProof/>
          <w:color w:val="auto"/>
          <w:sz w:val="24"/>
          <w:szCs w:val="24"/>
        </w:rPr>
        <w:t>6</w:t>
      </w:r>
      <w:r w:rsidRPr="00D46E24">
        <w:rPr>
          <w:rFonts w:ascii="Times New Roman" w:hAnsi="Times New Roman"/>
          <w:b/>
          <w:bCs/>
          <w:i w:val="0"/>
          <w:iCs w:val="0"/>
          <w:color w:val="auto"/>
          <w:sz w:val="24"/>
          <w:szCs w:val="24"/>
        </w:rPr>
        <w:fldChar w:fldCharType="end"/>
      </w:r>
      <w:bookmarkEnd w:id="8"/>
      <w:r>
        <w:rPr>
          <w:rFonts w:ascii="Times New Roman" w:hAnsi="Times New Roman"/>
          <w:b/>
          <w:bCs/>
          <w:i w:val="0"/>
          <w:iCs w:val="0"/>
          <w:color w:val="auto"/>
          <w:sz w:val="24"/>
          <w:szCs w:val="24"/>
        </w:rPr>
        <w:t>.</w:t>
      </w:r>
      <w:r w:rsidRPr="00D46E24">
        <w:rPr>
          <w:rFonts w:ascii="Times New Roman" w:hAnsi="Times New Roman"/>
          <w:b/>
          <w:bCs/>
          <w:i w:val="0"/>
          <w:iCs w:val="0"/>
          <w:color w:val="auto"/>
          <w:sz w:val="24"/>
          <w:szCs w:val="24"/>
        </w:rPr>
        <w:t xml:space="preserve"> </w:t>
      </w:r>
      <w:r w:rsidRPr="00D46E24">
        <w:rPr>
          <w:rFonts w:ascii="Times New Roman" w:hAnsi="Times New Roman"/>
          <w:i w:val="0"/>
          <w:iCs w:val="0"/>
          <w:color w:val="auto"/>
          <w:sz w:val="24"/>
          <w:szCs w:val="24"/>
        </w:rPr>
        <w:t>Validation of power consumption of heat pump</w:t>
      </w:r>
    </w:p>
    <w:p w14:paraId="18B403FE" w14:textId="5CE90F76" w:rsidR="00C05864" w:rsidRPr="00C05864" w:rsidRDefault="00C05864" w:rsidP="00500048">
      <w:pPr>
        <w:pStyle w:val="Heading2"/>
        <w:rPr>
          <w:rFonts w:ascii="Times New Roman" w:hAnsi="Times New Roman"/>
        </w:rPr>
      </w:pPr>
      <w:r>
        <w:rPr>
          <w:rFonts w:ascii="Times New Roman" w:hAnsi="Times New Roman"/>
        </w:rPr>
        <w:t>PV panel</w:t>
      </w:r>
    </w:p>
    <w:p w14:paraId="5FA91196" w14:textId="740FCB76" w:rsidR="00C05864" w:rsidRPr="00C05864" w:rsidRDefault="00C05864" w:rsidP="00C05864">
      <w:pPr>
        <w:pStyle w:val="BodyChar"/>
        <w:rPr>
          <w:rFonts w:ascii="Times New Roman" w:hAnsi="Times New Roman"/>
        </w:rPr>
      </w:pPr>
      <w:proofErr w:type="spellStart"/>
      <w:r w:rsidRPr="00C05864">
        <w:rPr>
          <w:rFonts w:ascii="Times New Roman" w:hAnsi="Times New Roman"/>
        </w:rPr>
        <w:t>AixLib</w:t>
      </w:r>
      <w:proofErr w:type="spellEnd"/>
      <w:r w:rsidRPr="00C05864">
        <w:rPr>
          <w:rFonts w:ascii="Times New Roman" w:hAnsi="Times New Roman"/>
        </w:rPr>
        <w:t xml:space="preserve">, an open-source package developed in the </w:t>
      </w:r>
      <w:proofErr w:type="spellStart"/>
      <w:r w:rsidRPr="00C05864">
        <w:rPr>
          <w:rFonts w:ascii="Times New Roman" w:hAnsi="Times New Roman"/>
        </w:rPr>
        <w:t>Modelica</w:t>
      </w:r>
      <w:proofErr w:type="spellEnd"/>
      <w:r w:rsidRPr="00C05864">
        <w:rPr>
          <w:rFonts w:ascii="Times New Roman" w:hAnsi="Times New Roman"/>
        </w:rPr>
        <w:t xml:space="preserve"> language, is employed to model PV systems. This model enables accurate prediction of the nonlinear electrical </w:t>
      </w:r>
      <w:proofErr w:type="spellStart"/>
      <w:r w:rsidRPr="00C05864">
        <w:rPr>
          <w:rFonts w:ascii="Times New Roman" w:hAnsi="Times New Roman"/>
        </w:rPr>
        <w:t>behavior</w:t>
      </w:r>
      <w:proofErr w:type="spellEnd"/>
      <w:r w:rsidRPr="00C05864">
        <w:rPr>
          <w:rFonts w:ascii="Times New Roman" w:hAnsi="Times New Roman"/>
        </w:rPr>
        <w:t xml:space="preserve"> of PV systems, which are affected by variations in cell temperature and solar irradiance. The Single-Diode method </w:t>
      </w:r>
      <w:r w:rsidR="000A7B1A">
        <w:rPr>
          <w:rFonts w:ascii="Times New Roman" w:hAnsi="Times New Roman"/>
        </w:rPr>
        <w:t>[</w:t>
      </w:r>
      <w:r w:rsidR="008163F3">
        <w:rPr>
          <w:rFonts w:ascii="Times New Roman" w:hAnsi="Times New Roman"/>
        </w:rPr>
        <w:t>13</w:t>
      </w:r>
      <w:r w:rsidRPr="00C05864">
        <w:rPr>
          <w:rFonts w:ascii="Times New Roman" w:hAnsi="Times New Roman"/>
        </w:rPr>
        <w:t xml:space="preserve">] is employed to model the physical </w:t>
      </w:r>
      <w:proofErr w:type="spellStart"/>
      <w:r w:rsidRPr="00C05864">
        <w:rPr>
          <w:rFonts w:ascii="Times New Roman" w:hAnsi="Times New Roman"/>
        </w:rPr>
        <w:t>behavior</w:t>
      </w:r>
      <w:proofErr w:type="spellEnd"/>
      <w:r w:rsidRPr="00C05864">
        <w:rPr>
          <w:rFonts w:ascii="Times New Roman" w:hAnsi="Times New Roman"/>
        </w:rPr>
        <w:t xml:space="preserve"> of the PV cell, while an empirical approach</w:t>
      </w:r>
      <w:r w:rsidR="00915486">
        <w:rPr>
          <w:rFonts w:ascii="Times New Roman" w:hAnsi="Times New Roman"/>
        </w:rPr>
        <w:t xml:space="preserve"> </w:t>
      </w:r>
      <w:r w:rsidRPr="00C05864">
        <w:rPr>
          <w:rFonts w:ascii="Times New Roman" w:hAnsi="Times New Roman"/>
        </w:rPr>
        <w:t>is utilized to model the cell temperature based on the specific mounting types of PV.</w:t>
      </w:r>
    </w:p>
    <w:p w14:paraId="74148FDD" w14:textId="77777777" w:rsidR="00C05864" w:rsidRPr="00C05864" w:rsidRDefault="00C05864" w:rsidP="00C05864">
      <w:pPr>
        <w:pStyle w:val="BodyChar"/>
        <w:rPr>
          <w:rFonts w:ascii="Times New Roman" w:hAnsi="Times New Roman"/>
        </w:rPr>
      </w:pPr>
    </w:p>
    <w:p w14:paraId="6137D90E" w14:textId="13581CD8" w:rsidR="00C05864" w:rsidRDefault="00C05864" w:rsidP="00C05864">
      <w:pPr>
        <w:pStyle w:val="BodyChar"/>
        <w:rPr>
          <w:rFonts w:ascii="Times New Roman" w:hAnsi="Times New Roman"/>
        </w:rPr>
      </w:pPr>
      <w:r w:rsidRPr="00C05864">
        <w:rPr>
          <w:rFonts w:ascii="Times New Roman" w:hAnsi="Times New Roman"/>
        </w:rPr>
        <w:t xml:space="preserve">To validate the model's accuracy, operation data collected from a PV system installed on the rooftop of the NIST Campus building is employed. The PV array is comprised of 312 Sharp NU-U235F2 modules, with a rated power output of 73.3 kW. Each panel is oriented southwards and fixed at a 10-degree tilt angle. One week of operation data, ranging from June 6, 2016, to June 13, 2016, is utilized to illustrate the model's accuracy. By utilizing solar irradiance, wind speed, and ambient temperature, the model can predict power generation from the PV system. </w:t>
      </w:r>
      <w:r w:rsidR="00EF4CBA" w:rsidRPr="00EF4CBA">
        <w:rPr>
          <w:rFonts w:ascii="Times New Roman" w:hAnsi="Times New Roman"/>
        </w:rPr>
        <w:fldChar w:fldCharType="begin"/>
      </w:r>
      <w:r w:rsidR="00EF4CBA" w:rsidRPr="00EF4CBA">
        <w:rPr>
          <w:rFonts w:ascii="Times New Roman" w:hAnsi="Times New Roman"/>
        </w:rPr>
        <w:instrText xml:space="preserve"> REF _Ref146735015 \h  \* MERGEFORMAT </w:instrText>
      </w:r>
      <w:r w:rsidR="00EF4CBA" w:rsidRPr="00EF4CBA">
        <w:rPr>
          <w:rFonts w:ascii="Times New Roman" w:hAnsi="Times New Roman"/>
        </w:rPr>
      </w:r>
      <w:r w:rsidR="00EF4CBA" w:rsidRPr="00EF4CBA">
        <w:rPr>
          <w:rFonts w:ascii="Times New Roman" w:hAnsi="Times New Roman"/>
        </w:rPr>
        <w:fldChar w:fldCharType="separate"/>
      </w:r>
      <w:r w:rsidR="002B44BC" w:rsidRPr="002B44BC">
        <w:rPr>
          <w:rFonts w:ascii="Times New Roman" w:hAnsi="Times New Roman" w:cs="Times New Roman"/>
          <w:color w:val="auto"/>
        </w:rPr>
        <w:t xml:space="preserve">Figure </w:t>
      </w:r>
      <w:r w:rsidR="002B44BC" w:rsidRPr="002B44BC">
        <w:rPr>
          <w:rFonts w:ascii="Times New Roman" w:hAnsi="Times New Roman" w:cs="Times New Roman"/>
          <w:noProof/>
          <w:color w:val="auto"/>
        </w:rPr>
        <w:t>7</w:t>
      </w:r>
      <w:r w:rsidR="00EF4CBA" w:rsidRPr="00EF4CBA">
        <w:rPr>
          <w:rFonts w:ascii="Times New Roman" w:hAnsi="Times New Roman"/>
        </w:rPr>
        <w:fldChar w:fldCharType="end"/>
      </w:r>
      <w:r w:rsidR="00EF4CBA">
        <w:rPr>
          <w:rFonts w:ascii="Times New Roman" w:hAnsi="Times New Roman"/>
        </w:rPr>
        <w:t xml:space="preserve"> </w:t>
      </w:r>
      <w:r w:rsidRPr="00C05864">
        <w:rPr>
          <w:rFonts w:ascii="Times New Roman" w:hAnsi="Times New Roman"/>
        </w:rPr>
        <w:t>demonstrates a good agreement between the predicted and measured power generation. The resulting MAPE is 6%.</w:t>
      </w:r>
    </w:p>
    <w:p w14:paraId="275C735F" w14:textId="77777777" w:rsidR="008D0AAD" w:rsidRDefault="008D0AAD" w:rsidP="00C05864">
      <w:pPr>
        <w:pStyle w:val="BodyChar"/>
        <w:rPr>
          <w:rFonts w:ascii="Times New Roman" w:hAnsi="Times New Roman"/>
        </w:rPr>
      </w:pPr>
    </w:p>
    <w:p w14:paraId="6188E946" w14:textId="0902C9B3" w:rsidR="00EF4CBA" w:rsidRDefault="00131035" w:rsidP="00EF4CBA">
      <w:pPr>
        <w:pStyle w:val="BodyChar"/>
        <w:keepNext/>
        <w:jc w:val="center"/>
      </w:pPr>
      <w:r>
        <w:rPr>
          <w:noProof/>
        </w:rPr>
        <w:drawing>
          <wp:inline distT="0" distB="0" distL="0" distR="0" wp14:anchorId="4B008A01" wp14:editId="57F92681">
            <wp:extent cx="5760085" cy="2044700"/>
            <wp:effectExtent l="0" t="0" r="5715" b="0"/>
            <wp:docPr id="36422052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0523" name="Graphic 364220523"/>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60085" cy="2044700"/>
                    </a:xfrm>
                    <a:prstGeom prst="rect">
                      <a:avLst/>
                    </a:prstGeom>
                  </pic:spPr>
                </pic:pic>
              </a:graphicData>
            </a:graphic>
          </wp:inline>
        </w:drawing>
      </w:r>
    </w:p>
    <w:p w14:paraId="1DF2AD8F" w14:textId="0F78AB56" w:rsidR="00C05864" w:rsidRPr="00EF4CBA" w:rsidRDefault="00EF4CBA" w:rsidP="00EF4CBA">
      <w:pPr>
        <w:pStyle w:val="Caption"/>
        <w:jc w:val="center"/>
        <w:rPr>
          <w:rFonts w:ascii="Times New Roman" w:hAnsi="Times New Roman"/>
          <w:i w:val="0"/>
          <w:iCs w:val="0"/>
          <w:color w:val="auto"/>
          <w:sz w:val="22"/>
          <w:szCs w:val="22"/>
        </w:rPr>
      </w:pPr>
      <w:bookmarkStart w:id="9" w:name="_Ref146735015"/>
      <w:r w:rsidRPr="00EF4CBA">
        <w:rPr>
          <w:rFonts w:ascii="Times New Roman" w:hAnsi="Times New Roman"/>
          <w:b/>
          <w:bCs/>
          <w:i w:val="0"/>
          <w:iCs w:val="0"/>
          <w:color w:val="auto"/>
          <w:sz w:val="22"/>
          <w:szCs w:val="22"/>
        </w:rPr>
        <w:t xml:space="preserve">Figure </w:t>
      </w:r>
      <w:r w:rsidRPr="00EF4CBA">
        <w:rPr>
          <w:rFonts w:ascii="Times New Roman" w:hAnsi="Times New Roman"/>
          <w:b/>
          <w:bCs/>
          <w:i w:val="0"/>
          <w:iCs w:val="0"/>
          <w:color w:val="auto"/>
          <w:sz w:val="22"/>
          <w:szCs w:val="22"/>
        </w:rPr>
        <w:fldChar w:fldCharType="begin"/>
      </w:r>
      <w:r w:rsidRPr="00EF4CBA">
        <w:rPr>
          <w:rFonts w:ascii="Times New Roman" w:hAnsi="Times New Roman"/>
          <w:b/>
          <w:bCs/>
          <w:i w:val="0"/>
          <w:iCs w:val="0"/>
          <w:color w:val="auto"/>
          <w:sz w:val="22"/>
          <w:szCs w:val="22"/>
        </w:rPr>
        <w:instrText xml:space="preserve"> SEQ Figure \* ARABIC </w:instrText>
      </w:r>
      <w:r w:rsidRPr="00EF4CBA">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7</w:t>
      </w:r>
      <w:r w:rsidRPr="00EF4CBA">
        <w:rPr>
          <w:rFonts w:ascii="Times New Roman" w:hAnsi="Times New Roman"/>
          <w:b/>
          <w:bCs/>
          <w:i w:val="0"/>
          <w:iCs w:val="0"/>
          <w:color w:val="auto"/>
          <w:sz w:val="22"/>
          <w:szCs w:val="22"/>
        </w:rPr>
        <w:fldChar w:fldCharType="end"/>
      </w:r>
      <w:bookmarkEnd w:id="9"/>
      <w:r w:rsidRPr="00EF4CBA">
        <w:rPr>
          <w:rFonts w:ascii="Times New Roman" w:hAnsi="Times New Roman"/>
          <w:i w:val="0"/>
          <w:iCs w:val="0"/>
          <w:color w:val="auto"/>
          <w:sz w:val="22"/>
          <w:szCs w:val="22"/>
        </w:rPr>
        <w:t>. Validation of PV system model</w:t>
      </w:r>
    </w:p>
    <w:p w14:paraId="054491CD" w14:textId="6C76A6DC" w:rsidR="00DD690D" w:rsidRPr="00CE57CF" w:rsidRDefault="008D0AAD" w:rsidP="00DD690D">
      <w:pPr>
        <w:pStyle w:val="Section"/>
        <w:rPr>
          <w:rFonts w:ascii="Times New Roman" w:hAnsi="Times New Roman"/>
        </w:rPr>
      </w:pPr>
      <w:r>
        <w:rPr>
          <w:rFonts w:ascii="Times New Roman" w:hAnsi="Times New Roman"/>
        </w:rPr>
        <w:lastRenderedPageBreak/>
        <w:t>Optimization</w:t>
      </w:r>
    </w:p>
    <w:p w14:paraId="58F334FC" w14:textId="77777777" w:rsidR="00DD690D" w:rsidRDefault="00DD690D" w:rsidP="00500048">
      <w:pPr>
        <w:pStyle w:val="BodyChar"/>
        <w:rPr>
          <w:rFonts w:ascii="Times New Roman" w:hAnsi="Times New Roman"/>
        </w:rPr>
      </w:pPr>
    </w:p>
    <w:p w14:paraId="7513A7FA" w14:textId="77777777" w:rsidR="008D0AAD" w:rsidRPr="008D0AAD" w:rsidRDefault="008D0AAD" w:rsidP="008D0AAD">
      <w:pPr>
        <w:pStyle w:val="BodyChar"/>
        <w:rPr>
          <w:rFonts w:ascii="Times New Roman" w:hAnsi="Times New Roman"/>
        </w:rPr>
      </w:pPr>
      <w:r w:rsidRPr="008D0AAD">
        <w:rPr>
          <w:rFonts w:ascii="Times New Roman" w:hAnsi="Times New Roman"/>
        </w:rPr>
        <w:t>Day-ahead scheduling is a critical aspect of microgrid operations, enabling efficient energy resource management by planning generation and storage, considering variable load and energy prices. Day-ahead scheduling allows microgrids to harness the benefits of price fluctuations, redistributing user load to low-price periods. Furthermore, day-ahead scheduling promotes the integration of renewables like solar and wind, aligning with sustainability targets.</w:t>
      </w:r>
    </w:p>
    <w:p w14:paraId="0E200E8B" w14:textId="77777777" w:rsidR="008D0AAD" w:rsidRPr="008D0AAD" w:rsidRDefault="008D0AAD" w:rsidP="008D0AAD">
      <w:pPr>
        <w:pStyle w:val="BodyChar"/>
        <w:rPr>
          <w:rFonts w:ascii="Times New Roman" w:hAnsi="Times New Roman"/>
        </w:rPr>
      </w:pPr>
    </w:p>
    <w:p w14:paraId="6065B81D" w14:textId="5BC8122C" w:rsidR="008D0AAD" w:rsidRDefault="008D0AAD" w:rsidP="008D0AAD">
      <w:pPr>
        <w:pStyle w:val="BodyChar"/>
        <w:rPr>
          <w:rFonts w:ascii="Times New Roman" w:hAnsi="Times New Roman"/>
        </w:rPr>
      </w:pPr>
      <w:r w:rsidRPr="008D0AAD">
        <w:rPr>
          <w:rFonts w:ascii="Times New Roman" w:hAnsi="Times New Roman"/>
        </w:rPr>
        <w:t xml:space="preserve">In this study, the optimization objective is to minimize operation costs, including both the cost of natural gas for the MGT and the cost of purchasing electricity. Calculating the operation cost involves utilizing the prices of electricity and natural gas. </w:t>
      </w:r>
      <w:r w:rsidR="00194C96" w:rsidRPr="00194C96">
        <w:rPr>
          <w:rFonts w:ascii="Times New Roman" w:hAnsi="Times New Roman"/>
        </w:rPr>
        <w:fldChar w:fldCharType="begin"/>
      </w:r>
      <w:r w:rsidR="00194C96" w:rsidRPr="00194C96">
        <w:rPr>
          <w:rFonts w:ascii="Times New Roman" w:hAnsi="Times New Roman"/>
        </w:rPr>
        <w:instrText xml:space="preserve"> REF _Ref146735070 \h  \* MERGEFORMAT </w:instrText>
      </w:r>
      <w:r w:rsidR="00194C96" w:rsidRPr="00194C96">
        <w:rPr>
          <w:rFonts w:ascii="Times New Roman" w:hAnsi="Times New Roman"/>
        </w:rPr>
      </w:r>
      <w:r w:rsidR="00194C96" w:rsidRPr="00194C96">
        <w:rPr>
          <w:rFonts w:ascii="Times New Roman" w:hAnsi="Times New Roman"/>
        </w:rPr>
        <w:fldChar w:fldCharType="separate"/>
      </w:r>
      <w:r w:rsidR="002B44BC" w:rsidRPr="002B44BC">
        <w:rPr>
          <w:rFonts w:ascii="Times New Roman" w:hAnsi="Times New Roman" w:cs="Times New Roman"/>
          <w:color w:val="auto"/>
        </w:rPr>
        <w:t xml:space="preserve">Figure </w:t>
      </w:r>
      <w:r w:rsidR="002B44BC" w:rsidRPr="002B44BC">
        <w:rPr>
          <w:rFonts w:ascii="Times New Roman" w:hAnsi="Times New Roman" w:cs="Times New Roman"/>
          <w:noProof/>
          <w:color w:val="auto"/>
        </w:rPr>
        <w:t>8</w:t>
      </w:r>
      <w:r w:rsidR="00194C96" w:rsidRPr="00194C96">
        <w:rPr>
          <w:rFonts w:ascii="Times New Roman" w:hAnsi="Times New Roman"/>
        </w:rPr>
        <w:fldChar w:fldCharType="end"/>
      </w:r>
      <w:r w:rsidR="00194C96">
        <w:rPr>
          <w:rFonts w:ascii="Times New Roman" w:hAnsi="Times New Roman"/>
        </w:rPr>
        <w:t xml:space="preserve"> </w:t>
      </w:r>
      <w:r w:rsidRPr="008D0AAD">
        <w:rPr>
          <w:rFonts w:ascii="Times New Roman" w:hAnsi="Times New Roman"/>
        </w:rPr>
        <w:t>displays the hourly electricity prices. In this study, the cost of natural gas is set at 0.75 NOK/kWh.</w:t>
      </w:r>
    </w:p>
    <w:p w14:paraId="62711835" w14:textId="77777777" w:rsidR="008D0AAD" w:rsidRDefault="008D0AAD" w:rsidP="008D0AAD">
      <w:pPr>
        <w:pStyle w:val="BodyChar"/>
        <w:rPr>
          <w:rFonts w:ascii="Times New Roman" w:hAnsi="Times New Roman"/>
        </w:rPr>
      </w:pPr>
    </w:p>
    <w:p w14:paraId="2938A922" w14:textId="77777777" w:rsidR="00194C96" w:rsidRDefault="008D0AAD" w:rsidP="00194C96">
      <w:pPr>
        <w:pStyle w:val="BodyChar"/>
        <w:keepNext/>
        <w:jc w:val="center"/>
      </w:pPr>
      <w:r w:rsidRPr="0019157A">
        <w:rPr>
          <w:rFonts w:ascii="Calibri" w:hAnsi="Calibri" w:cs="Calibri"/>
          <w:noProof/>
        </w:rPr>
        <w:drawing>
          <wp:inline distT="0" distB="0" distL="0" distR="0" wp14:anchorId="1108B2BF" wp14:editId="15BE0F4C">
            <wp:extent cx="3990109" cy="2107946"/>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993875" cy="2109935"/>
                    </a:xfrm>
                    <a:prstGeom prst="rect">
                      <a:avLst/>
                    </a:prstGeom>
                  </pic:spPr>
                </pic:pic>
              </a:graphicData>
            </a:graphic>
          </wp:inline>
        </w:drawing>
      </w:r>
    </w:p>
    <w:p w14:paraId="01280B03" w14:textId="1EA79AEE" w:rsidR="008D0AAD" w:rsidRPr="00194C96" w:rsidRDefault="00194C96" w:rsidP="00194C96">
      <w:pPr>
        <w:pStyle w:val="Caption"/>
        <w:jc w:val="center"/>
        <w:rPr>
          <w:rFonts w:ascii="Times New Roman" w:hAnsi="Times New Roman"/>
          <w:i w:val="0"/>
          <w:iCs w:val="0"/>
          <w:color w:val="auto"/>
          <w:sz w:val="22"/>
          <w:szCs w:val="22"/>
        </w:rPr>
      </w:pPr>
      <w:bookmarkStart w:id="10" w:name="_Ref146735070"/>
      <w:r w:rsidRPr="00194C96">
        <w:rPr>
          <w:rFonts w:ascii="Times New Roman" w:hAnsi="Times New Roman"/>
          <w:b/>
          <w:bCs/>
          <w:i w:val="0"/>
          <w:iCs w:val="0"/>
          <w:color w:val="auto"/>
          <w:sz w:val="22"/>
          <w:szCs w:val="22"/>
        </w:rPr>
        <w:t xml:space="preserve">Figure </w:t>
      </w:r>
      <w:r w:rsidRPr="00194C96">
        <w:rPr>
          <w:rFonts w:ascii="Times New Roman" w:hAnsi="Times New Roman"/>
          <w:b/>
          <w:bCs/>
          <w:i w:val="0"/>
          <w:iCs w:val="0"/>
          <w:color w:val="auto"/>
          <w:sz w:val="22"/>
          <w:szCs w:val="22"/>
        </w:rPr>
        <w:fldChar w:fldCharType="begin"/>
      </w:r>
      <w:r w:rsidRPr="00194C96">
        <w:rPr>
          <w:rFonts w:ascii="Times New Roman" w:hAnsi="Times New Roman"/>
          <w:b/>
          <w:bCs/>
          <w:i w:val="0"/>
          <w:iCs w:val="0"/>
          <w:color w:val="auto"/>
          <w:sz w:val="22"/>
          <w:szCs w:val="22"/>
        </w:rPr>
        <w:instrText xml:space="preserve"> SEQ Figure \* ARABIC </w:instrText>
      </w:r>
      <w:r w:rsidRPr="00194C96">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8</w:t>
      </w:r>
      <w:r w:rsidRPr="00194C96">
        <w:rPr>
          <w:rFonts w:ascii="Times New Roman" w:hAnsi="Times New Roman"/>
          <w:b/>
          <w:bCs/>
          <w:i w:val="0"/>
          <w:iCs w:val="0"/>
          <w:color w:val="auto"/>
          <w:sz w:val="22"/>
          <w:szCs w:val="22"/>
        </w:rPr>
        <w:fldChar w:fldCharType="end"/>
      </w:r>
      <w:bookmarkEnd w:id="10"/>
      <w:r w:rsidRPr="00194C96">
        <w:rPr>
          <w:rFonts w:ascii="Times New Roman" w:hAnsi="Times New Roman"/>
          <w:i w:val="0"/>
          <w:iCs w:val="0"/>
          <w:color w:val="auto"/>
          <w:sz w:val="22"/>
          <w:szCs w:val="22"/>
        </w:rPr>
        <w:t>. Electricity price for 24 hours</w:t>
      </w:r>
    </w:p>
    <w:p w14:paraId="39CDFB2F" w14:textId="0D344D0D" w:rsidR="008D0AAD" w:rsidRDefault="008D0AAD" w:rsidP="008D0AAD">
      <w:pPr>
        <w:pStyle w:val="BodyChar"/>
        <w:rPr>
          <w:rFonts w:ascii="Times New Roman" w:hAnsi="Times New Roman"/>
        </w:rPr>
      </w:pPr>
      <w:r w:rsidRPr="008D0AAD">
        <w:rPr>
          <w:rFonts w:ascii="Times New Roman" w:hAnsi="Times New Roman"/>
        </w:rPr>
        <w:t>The operation cost can be represented as follows:</w:t>
      </w:r>
    </w:p>
    <w:p w14:paraId="58073DFC" w14:textId="77777777" w:rsidR="008D0AAD" w:rsidRDefault="008D0AAD" w:rsidP="008D0AAD">
      <w:pPr>
        <w:pStyle w:val="BodyChar"/>
        <w:rPr>
          <w:rFonts w:ascii="Times New Roman" w:hAnsi="Times New Roman"/>
        </w:rPr>
      </w:pPr>
    </w:p>
    <w:p w14:paraId="0E1015B8" w14:textId="77777777" w:rsidR="008D0AAD" w:rsidRDefault="008D0AAD" w:rsidP="008D0AAD">
      <w:pPr>
        <w:rPr>
          <w:rFonts w:ascii="Calibri" w:hAnsi="Calibri" w:cs="Calibri"/>
        </w:rPr>
      </w:pPr>
      <m:oMathPara>
        <m:oMath>
          <m:r>
            <w:rPr>
              <w:rFonts w:ascii="Cambria Math" w:hAnsi="Cambria Math" w:cs="Calibri"/>
            </w:rPr>
            <m:t>Cost=</m:t>
          </m:r>
          <m:nary>
            <m:naryPr>
              <m:limLoc m:val="subSup"/>
              <m:ctrlPr>
                <w:rPr>
                  <w:rFonts w:ascii="Cambria Math" w:hAnsi="Cambria Math" w:cs="Calibri"/>
                  <w:i/>
                </w:rPr>
              </m:ctrlPr>
            </m:naryPr>
            <m:sub>
              <m:r>
                <w:rPr>
                  <w:rFonts w:ascii="Cambria Math" w:hAnsi="Cambria Math" w:cs="Calibri"/>
                </w:rPr>
                <m:t>t=0</m:t>
              </m:r>
            </m:sub>
            <m:sup>
              <m:r>
                <w:rPr>
                  <w:rFonts w:ascii="Cambria Math" w:hAnsi="Cambria Math" w:cs="Calibri"/>
                </w:rPr>
                <m:t>t=24</m:t>
              </m:r>
            </m:sup>
            <m:e>
              <m:sSub>
                <m:sSubPr>
                  <m:ctrlPr>
                    <w:rPr>
                      <w:rFonts w:ascii="Cambria Math" w:hAnsi="Cambria Math" w:cs="Calibri"/>
                      <w:i/>
                    </w:rPr>
                  </m:ctrlPr>
                </m:sSubPr>
                <m:e>
                  <m:r>
                    <w:rPr>
                      <w:rFonts w:ascii="Cambria Math" w:hAnsi="Cambria Math" w:cs="Calibri"/>
                    </w:rPr>
                    <m:t>E</m:t>
                  </m:r>
                </m:e>
                <m:sub>
                  <m:r>
                    <w:rPr>
                      <w:rFonts w:ascii="Cambria Math" w:hAnsi="Cambria Math" w:cs="Calibri"/>
                    </w:rPr>
                    <m:t>grid</m:t>
                  </m:r>
                </m:sub>
              </m:sSub>
              <m:r>
                <w:rPr>
                  <w:rFonts w:ascii="Cambria Math" w:hAnsi="Cambria Math" w:cs="Calibri"/>
                </w:rPr>
                <m:t>∙</m:t>
              </m:r>
              <m:sSub>
                <m:sSubPr>
                  <m:ctrlPr>
                    <w:rPr>
                      <w:rFonts w:ascii="Cambria Math" w:hAnsi="Cambria Math" w:cs="Calibri"/>
                      <w:i/>
                    </w:rPr>
                  </m:ctrlPr>
                </m:sSubPr>
                <m:e>
                  <m:r>
                    <w:rPr>
                      <w:rFonts w:ascii="Cambria Math" w:hAnsi="Cambria Math" w:cs="Calibri"/>
                    </w:rPr>
                    <m:t>P</m:t>
                  </m:r>
                </m:e>
                <m:sub>
                  <m:r>
                    <w:rPr>
                      <w:rFonts w:ascii="Cambria Math" w:hAnsi="Cambria Math" w:cs="Calibri"/>
                    </w:rPr>
                    <m:t>e</m:t>
                  </m:r>
                </m:sub>
              </m:sSub>
              <m:r>
                <w:rPr>
                  <w:rFonts w:ascii="Cambria Math" w:hAnsi="Cambria Math" w:cs="Calibri"/>
                </w:rPr>
                <m:t>dt</m:t>
              </m:r>
            </m:e>
          </m:nary>
          <m:r>
            <w:rPr>
              <w:rFonts w:ascii="Cambria Math" w:hAnsi="Cambria Math" w:cs="Calibri"/>
            </w:rPr>
            <m:t>+</m:t>
          </m:r>
          <m:nary>
            <m:naryPr>
              <m:limLoc m:val="subSup"/>
              <m:ctrlPr>
                <w:rPr>
                  <w:rFonts w:ascii="Cambria Math" w:hAnsi="Cambria Math" w:cs="Calibri"/>
                  <w:i/>
                </w:rPr>
              </m:ctrlPr>
            </m:naryPr>
            <m:sub>
              <m:r>
                <w:rPr>
                  <w:rFonts w:ascii="Cambria Math" w:hAnsi="Cambria Math" w:cs="Calibri"/>
                </w:rPr>
                <m:t>t=0</m:t>
              </m:r>
            </m:sub>
            <m:sup>
              <m:r>
                <w:rPr>
                  <w:rFonts w:ascii="Cambria Math" w:hAnsi="Cambria Math" w:cs="Calibri"/>
                </w:rPr>
                <m:t>t=24</m:t>
              </m:r>
            </m:sup>
            <m:e>
              <m:sSub>
                <m:sSubPr>
                  <m:ctrlPr>
                    <w:rPr>
                      <w:rFonts w:ascii="Cambria Math" w:hAnsi="Cambria Math" w:cs="Calibri"/>
                      <w:i/>
                    </w:rPr>
                  </m:ctrlPr>
                </m:sSubPr>
                <m:e>
                  <m:r>
                    <w:rPr>
                      <w:rFonts w:ascii="Cambria Math" w:hAnsi="Cambria Math" w:cs="Calibri"/>
                    </w:rPr>
                    <m:t>Fuel</m:t>
                  </m:r>
                </m:e>
                <m:sub>
                  <m:r>
                    <w:rPr>
                      <w:rFonts w:ascii="Cambria Math" w:hAnsi="Cambria Math" w:cs="Calibri"/>
                    </w:rPr>
                    <m:t>MGT</m:t>
                  </m:r>
                </m:sub>
              </m:sSub>
              <m:r>
                <w:rPr>
                  <w:rFonts w:ascii="Cambria Math" w:hAnsi="Cambria Math" w:cs="Calibri"/>
                </w:rPr>
                <m:t>∙</m:t>
              </m:r>
              <m:sSub>
                <m:sSubPr>
                  <m:ctrlPr>
                    <w:rPr>
                      <w:rFonts w:ascii="Cambria Math" w:hAnsi="Cambria Math" w:cs="Calibri"/>
                      <w:i/>
                    </w:rPr>
                  </m:ctrlPr>
                </m:sSubPr>
                <m:e>
                  <m:r>
                    <w:rPr>
                      <w:rFonts w:ascii="Cambria Math" w:hAnsi="Cambria Math" w:cs="Calibri"/>
                    </w:rPr>
                    <m:t>P</m:t>
                  </m:r>
                </m:e>
                <m:sub>
                  <m:r>
                    <w:rPr>
                      <w:rFonts w:ascii="Cambria Math" w:hAnsi="Cambria Math" w:cs="Calibri"/>
                    </w:rPr>
                    <m:t>g</m:t>
                  </m:r>
                </m:sub>
              </m:sSub>
              <m:r>
                <w:rPr>
                  <w:rFonts w:ascii="Cambria Math" w:hAnsi="Cambria Math" w:cs="Calibri"/>
                </w:rPr>
                <m:t>dt</m:t>
              </m:r>
            </m:e>
          </m:nary>
        </m:oMath>
      </m:oMathPara>
    </w:p>
    <w:p w14:paraId="74F8F65C" w14:textId="77777777" w:rsidR="008D0AAD" w:rsidRDefault="008D0AAD" w:rsidP="008D0AAD">
      <w:pPr>
        <w:pStyle w:val="BodyChar"/>
        <w:rPr>
          <w:rFonts w:ascii="Times New Roman" w:hAnsi="Times New Roman"/>
        </w:rPr>
      </w:pPr>
    </w:p>
    <w:p w14:paraId="1158D592" w14:textId="5093D5DA" w:rsidR="008D0AAD" w:rsidRDefault="008D0AAD" w:rsidP="00500048">
      <w:pPr>
        <w:pStyle w:val="BodyChar"/>
        <w:rPr>
          <w:rFonts w:ascii="Times New Roman" w:hAnsi="Times New Roman"/>
        </w:rPr>
      </w:pPr>
      <w:r>
        <w:rPr>
          <w:rFonts w:ascii="Times New Roman" w:hAnsi="Times New Roman"/>
        </w:rPr>
        <w:t>Where</w:t>
      </w:r>
      <w:r w:rsidR="00BC1B3E">
        <w:rPr>
          <w:rFonts w:ascii="Times New Roman" w:hAnsi="Times New Roman"/>
        </w:rPr>
        <w:t>:</w:t>
      </w:r>
    </w:p>
    <w:p w14:paraId="5B845C1A" w14:textId="77777777" w:rsidR="008D0AAD" w:rsidRDefault="008D0AAD" w:rsidP="008D0AAD">
      <w:pPr>
        <w:rPr>
          <w:rFonts w:ascii="Calibri" w:hAnsi="Calibri" w:cs="Calibri"/>
        </w:rPr>
      </w:pPr>
      <m:oMath>
        <m:r>
          <w:rPr>
            <w:rFonts w:ascii="Cambria Math" w:hAnsi="Cambria Math" w:cs="Calibri"/>
          </w:rPr>
          <m:t>Cost</m:t>
        </m:r>
      </m:oMath>
      <w:r>
        <w:rPr>
          <w:rFonts w:ascii="Calibri" w:hAnsi="Calibri" w:cs="Calibri"/>
        </w:rPr>
        <w:t xml:space="preserve"> – </w:t>
      </w:r>
      <w:r w:rsidRPr="00C138FD">
        <w:rPr>
          <w:rFonts w:ascii="Times New Roman" w:hAnsi="Times New Roman"/>
        </w:rPr>
        <w:t>operation cost of the microgrid (NOK)</w:t>
      </w:r>
    </w:p>
    <w:p w14:paraId="7FCE480E" w14:textId="77777777" w:rsidR="008D0AAD" w:rsidRPr="00C138FD" w:rsidRDefault="00000000" w:rsidP="008D0AAD">
      <w:pPr>
        <w:rPr>
          <w:rFonts w:ascii="Times New Roman" w:hAnsi="Times New Roman"/>
        </w:rPr>
      </w:pPr>
      <m:oMath>
        <m:sSub>
          <m:sSubPr>
            <m:ctrlPr>
              <w:rPr>
                <w:rFonts w:ascii="Cambria Math" w:hAnsi="Cambria Math" w:cs="Calibri"/>
                <w:i/>
              </w:rPr>
            </m:ctrlPr>
          </m:sSubPr>
          <m:e>
            <m:r>
              <w:rPr>
                <w:rFonts w:ascii="Cambria Math" w:hAnsi="Cambria Math" w:cs="Calibri"/>
              </w:rPr>
              <m:t>E</m:t>
            </m:r>
          </m:e>
          <m:sub>
            <m:r>
              <w:rPr>
                <w:rFonts w:ascii="Cambria Math" w:hAnsi="Cambria Math" w:cs="Calibri"/>
              </w:rPr>
              <m:t>grid</m:t>
            </m:r>
          </m:sub>
        </m:sSub>
      </m:oMath>
      <w:r w:rsidR="008D0AAD">
        <w:rPr>
          <w:rFonts w:ascii="Calibri" w:hAnsi="Calibri" w:cs="Calibri"/>
        </w:rPr>
        <w:t xml:space="preserve"> – </w:t>
      </w:r>
      <w:r w:rsidR="008D0AAD" w:rsidRPr="00C138FD">
        <w:rPr>
          <w:rFonts w:ascii="Times New Roman" w:hAnsi="Times New Roman"/>
        </w:rPr>
        <w:t>Electricity purchased from grid (kWh)</w:t>
      </w:r>
    </w:p>
    <w:p w14:paraId="27AF2F88" w14:textId="77777777" w:rsidR="008D0AAD" w:rsidRPr="00C138FD" w:rsidRDefault="00000000" w:rsidP="008D0AAD">
      <w:pPr>
        <w:rPr>
          <w:rFonts w:ascii="Times New Roman" w:hAnsi="Times New Roman"/>
        </w:rPr>
      </w:pPr>
      <m:oMath>
        <m:sSub>
          <m:sSubPr>
            <m:ctrlPr>
              <w:rPr>
                <w:rFonts w:ascii="Cambria Math" w:hAnsi="Cambria Math" w:cs="Calibri"/>
                <w:i/>
              </w:rPr>
            </m:ctrlPr>
          </m:sSubPr>
          <m:e>
            <m:r>
              <w:rPr>
                <w:rFonts w:ascii="Cambria Math" w:hAnsi="Cambria Math" w:cs="Calibri"/>
              </w:rPr>
              <m:t>P</m:t>
            </m:r>
          </m:e>
          <m:sub>
            <m:r>
              <w:rPr>
                <w:rFonts w:ascii="Cambria Math" w:hAnsi="Cambria Math" w:cs="Calibri"/>
              </w:rPr>
              <m:t>e</m:t>
            </m:r>
          </m:sub>
        </m:sSub>
      </m:oMath>
      <w:r w:rsidR="008D0AAD">
        <w:rPr>
          <w:rFonts w:ascii="Calibri" w:hAnsi="Calibri" w:cs="Calibri"/>
        </w:rPr>
        <w:t xml:space="preserve"> – </w:t>
      </w:r>
      <w:r w:rsidR="008D0AAD" w:rsidRPr="00C138FD">
        <w:rPr>
          <w:rFonts w:ascii="Times New Roman" w:hAnsi="Times New Roman"/>
        </w:rPr>
        <w:t>Price of electricity (NOK/kWh)</w:t>
      </w:r>
    </w:p>
    <w:p w14:paraId="06BF445C" w14:textId="77777777" w:rsidR="008D0AAD" w:rsidRPr="00C138FD" w:rsidRDefault="00000000" w:rsidP="008D0AAD">
      <w:pPr>
        <w:rPr>
          <w:rFonts w:ascii="Times New Roman" w:hAnsi="Times New Roman"/>
        </w:rPr>
      </w:pPr>
      <m:oMath>
        <m:sSub>
          <m:sSubPr>
            <m:ctrlPr>
              <w:rPr>
                <w:rFonts w:ascii="Cambria Math" w:hAnsi="Cambria Math" w:cs="Calibri"/>
                <w:i/>
              </w:rPr>
            </m:ctrlPr>
          </m:sSubPr>
          <m:e>
            <m:r>
              <w:rPr>
                <w:rFonts w:ascii="Cambria Math" w:hAnsi="Cambria Math" w:cs="Calibri"/>
              </w:rPr>
              <m:t>Fuel</m:t>
            </m:r>
          </m:e>
          <m:sub>
            <m:r>
              <w:rPr>
                <w:rFonts w:ascii="Cambria Math" w:hAnsi="Cambria Math" w:cs="Calibri"/>
              </w:rPr>
              <m:t>MGT</m:t>
            </m:r>
          </m:sub>
        </m:sSub>
      </m:oMath>
      <w:r w:rsidR="008D0AAD">
        <w:rPr>
          <w:rFonts w:ascii="Calibri" w:hAnsi="Calibri" w:cs="Calibri"/>
        </w:rPr>
        <w:t xml:space="preserve"> – </w:t>
      </w:r>
      <w:r w:rsidR="008D0AAD" w:rsidRPr="00C138FD">
        <w:rPr>
          <w:rFonts w:ascii="Times New Roman" w:hAnsi="Times New Roman"/>
        </w:rPr>
        <w:t>Fuel consumption of MGT (kWh)</w:t>
      </w:r>
    </w:p>
    <w:p w14:paraId="3B15532E" w14:textId="77777777" w:rsidR="008D0AAD" w:rsidRDefault="008D0AAD" w:rsidP="00500048">
      <w:pPr>
        <w:pStyle w:val="BodyChar"/>
        <w:rPr>
          <w:rFonts w:ascii="Times New Roman" w:hAnsi="Times New Roman"/>
        </w:rPr>
      </w:pPr>
    </w:p>
    <w:p w14:paraId="197C5A03" w14:textId="5295E3F4" w:rsidR="00C103DB" w:rsidRPr="00F66A92" w:rsidRDefault="00235FDF" w:rsidP="00500048">
      <w:pPr>
        <w:pStyle w:val="BodyChar"/>
        <w:rPr>
          <w:rFonts w:ascii="Times New Roman" w:hAnsi="Times New Roman"/>
          <w:color w:val="000000" w:themeColor="text1"/>
        </w:rPr>
      </w:pPr>
      <w:r w:rsidRPr="00F66A92">
        <w:rPr>
          <w:rFonts w:ascii="Times New Roman" w:hAnsi="Times New Roman"/>
          <w:color w:val="000000" w:themeColor="text1"/>
        </w:rPr>
        <w:t xml:space="preserve">The optimization variable in this study is the capacity and on-off status of the MGT. The optimization is carried out at one-hour intervals, which results in a 24-hour capacity time profile. This time profile is essential for effectively managing the energy generation and consumption patterns over the course of a day, considering varying demands and available resources. To achieve this, we employ the </w:t>
      </w:r>
      <w:proofErr w:type="spellStart"/>
      <w:r w:rsidRPr="00F66A92">
        <w:rPr>
          <w:rFonts w:ascii="Times New Roman" w:hAnsi="Times New Roman"/>
          <w:color w:val="000000" w:themeColor="text1"/>
        </w:rPr>
        <w:t>Dymola</w:t>
      </w:r>
      <w:proofErr w:type="spellEnd"/>
      <w:r w:rsidRPr="00F66A92">
        <w:rPr>
          <w:rFonts w:ascii="Times New Roman" w:hAnsi="Times New Roman"/>
          <w:color w:val="000000" w:themeColor="text1"/>
        </w:rPr>
        <w:t xml:space="preserve"> optimization package, a powerful tool that supports multiple optimization algorithms. In this case, the genetic algorithm is chosen as the optimization algorithm due to its capability to navigate and search through an extensive and complex solution space effectively. Genetic algorithms mimic the process of natural selection and evolution, making them adept at finding nearly optimal solutions in a computationally efficient manner.</w:t>
      </w:r>
    </w:p>
    <w:p w14:paraId="04FE11F8" w14:textId="3D2E1FE1" w:rsidR="00F82A0D" w:rsidRPr="00F82A0D" w:rsidRDefault="00944BC4" w:rsidP="00F82A0D">
      <w:pPr>
        <w:pStyle w:val="Section"/>
        <w:rPr>
          <w:rFonts w:ascii="Times New Roman" w:hAnsi="Times New Roman"/>
        </w:rPr>
      </w:pPr>
      <w:r>
        <w:rPr>
          <w:rFonts w:ascii="Times New Roman" w:hAnsi="Times New Roman"/>
        </w:rPr>
        <w:t>Results and discussions</w:t>
      </w:r>
    </w:p>
    <w:p w14:paraId="72382838" w14:textId="77777777" w:rsidR="00675807" w:rsidRDefault="00675807" w:rsidP="00F82A0D">
      <w:pPr>
        <w:pStyle w:val="BodyChar"/>
        <w:rPr>
          <w:rFonts w:ascii="Times New Roman" w:hAnsi="Times New Roman"/>
          <w:lang w:val="en-US"/>
        </w:rPr>
      </w:pPr>
    </w:p>
    <w:p w14:paraId="6F6BCDD3" w14:textId="0F856E57" w:rsidR="00675807" w:rsidRDefault="00944BC4" w:rsidP="00F82A0D">
      <w:pPr>
        <w:pStyle w:val="BodyChar"/>
        <w:rPr>
          <w:rFonts w:ascii="Times New Roman" w:hAnsi="Times New Roman"/>
        </w:rPr>
      </w:pPr>
      <w:r w:rsidRPr="00944BC4">
        <w:rPr>
          <w:rFonts w:ascii="Times New Roman" w:hAnsi="Times New Roman"/>
        </w:rPr>
        <w:lastRenderedPageBreak/>
        <w:t>Day-ahead scheduling for the microgrid involved computing the capacity for the MGT, PV system, and purchased grid electricity for every hour. A comparison of performance was made by evaluating a baseline case utilizing rule-based operation.</w:t>
      </w:r>
    </w:p>
    <w:p w14:paraId="3EA89FFF" w14:textId="56A23674" w:rsidR="00944BC4" w:rsidRPr="00944BC4" w:rsidRDefault="00944BC4" w:rsidP="00470A9D">
      <w:pPr>
        <w:pStyle w:val="Heading2"/>
        <w:rPr>
          <w:rFonts w:ascii="Times New Roman" w:hAnsi="Times New Roman"/>
        </w:rPr>
      </w:pPr>
      <w:r w:rsidRPr="00944BC4">
        <w:rPr>
          <w:rFonts w:ascii="Times New Roman" w:hAnsi="Times New Roman"/>
        </w:rPr>
        <w:t>Day-ahead scheduling of the microgrid</w:t>
      </w:r>
    </w:p>
    <w:p w14:paraId="619D2373" w14:textId="0EE4CECF" w:rsidR="00944BC4" w:rsidRDefault="00944BC4" w:rsidP="00470A9D">
      <w:pPr>
        <w:pStyle w:val="BodyChar"/>
        <w:rPr>
          <w:rFonts w:ascii="Times New Roman" w:hAnsi="Times New Roman"/>
          <w:lang w:val="en-US"/>
        </w:rPr>
      </w:pPr>
      <w:r w:rsidRPr="00944BC4">
        <w:rPr>
          <w:rFonts w:ascii="Times New Roman" w:hAnsi="Times New Roman"/>
          <w:lang w:val="en-US"/>
        </w:rPr>
        <w:t xml:space="preserve">The genetic algorithm was utilized to determine the optimization variables—specifically, the MGT's capacity and its on-off status for each hour, illustrated in </w:t>
      </w:r>
      <w:r w:rsidR="000F434B" w:rsidRPr="000F434B">
        <w:rPr>
          <w:rFonts w:ascii="Times New Roman" w:hAnsi="Times New Roman"/>
          <w:lang w:val="en-US"/>
        </w:rPr>
        <w:fldChar w:fldCharType="begin"/>
      </w:r>
      <w:r w:rsidR="000F434B" w:rsidRPr="000F434B">
        <w:rPr>
          <w:rFonts w:ascii="Times New Roman" w:hAnsi="Times New Roman"/>
          <w:lang w:val="en-US"/>
        </w:rPr>
        <w:instrText xml:space="preserve"> REF _Ref146735144 \h  \* MERGEFORMAT </w:instrText>
      </w:r>
      <w:r w:rsidR="000F434B" w:rsidRPr="000F434B">
        <w:rPr>
          <w:rFonts w:ascii="Times New Roman" w:hAnsi="Times New Roman"/>
          <w:lang w:val="en-US"/>
        </w:rPr>
      </w:r>
      <w:r w:rsidR="000F434B" w:rsidRPr="000F434B">
        <w:rPr>
          <w:rFonts w:ascii="Times New Roman" w:hAnsi="Times New Roman"/>
          <w:lang w:val="en-US"/>
        </w:rPr>
        <w:fldChar w:fldCharType="separate"/>
      </w:r>
      <w:r w:rsidR="002B44BC" w:rsidRPr="002B44BC">
        <w:rPr>
          <w:rFonts w:ascii="Times New Roman" w:hAnsi="Times New Roman" w:cs="Times New Roman"/>
          <w:color w:val="auto"/>
        </w:rPr>
        <w:t xml:space="preserve">Figure </w:t>
      </w:r>
      <w:r w:rsidR="002B44BC" w:rsidRPr="002B44BC">
        <w:rPr>
          <w:rFonts w:ascii="Times New Roman" w:hAnsi="Times New Roman" w:cs="Times New Roman"/>
          <w:noProof/>
          <w:color w:val="auto"/>
        </w:rPr>
        <w:t>9</w:t>
      </w:r>
      <w:r w:rsidR="000F434B" w:rsidRPr="000F434B">
        <w:rPr>
          <w:rFonts w:ascii="Times New Roman" w:hAnsi="Times New Roman"/>
          <w:lang w:val="en-US"/>
        </w:rPr>
        <w:fldChar w:fldCharType="end"/>
      </w:r>
      <w:r w:rsidRPr="00944BC4">
        <w:rPr>
          <w:rFonts w:ascii="Times New Roman" w:hAnsi="Times New Roman"/>
          <w:lang w:val="en-US"/>
        </w:rPr>
        <w:t>. At the start of the day, MGT is switched on at 7 am, with a capacity of 108 kW. Shortly thereafter, MGT undergoes shutdown. In the afternoon, MGT operates for several hours. During the night, specifically at 8 pm, MGT is turned on.</w:t>
      </w:r>
    </w:p>
    <w:p w14:paraId="049FF30C" w14:textId="77777777" w:rsidR="00944BC4" w:rsidRDefault="00944BC4" w:rsidP="00470A9D">
      <w:pPr>
        <w:pStyle w:val="BodyChar"/>
        <w:rPr>
          <w:rFonts w:ascii="Times New Roman" w:hAnsi="Times New Roman"/>
          <w:lang w:val="en-US"/>
        </w:rPr>
      </w:pPr>
    </w:p>
    <w:p w14:paraId="40366548" w14:textId="77777777" w:rsidR="000F434B" w:rsidRDefault="00944BC4" w:rsidP="000F434B">
      <w:pPr>
        <w:pStyle w:val="BodyChar"/>
        <w:keepNext/>
        <w:jc w:val="center"/>
      </w:pPr>
      <w:r w:rsidRPr="00EF4D91">
        <w:rPr>
          <w:rFonts w:ascii="Calibri" w:hAnsi="Calibri" w:cs="Calibri"/>
          <w:b/>
          <w:bCs/>
          <w:noProof/>
          <w:sz w:val="36"/>
          <w:szCs w:val="40"/>
        </w:rPr>
        <w:drawing>
          <wp:inline distT="0" distB="0" distL="0" distR="0" wp14:anchorId="7C58CA73" wp14:editId="755B8DCB">
            <wp:extent cx="4794636" cy="2340748"/>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4801929" cy="2344308"/>
                    </a:xfrm>
                    <a:prstGeom prst="rect">
                      <a:avLst/>
                    </a:prstGeom>
                  </pic:spPr>
                </pic:pic>
              </a:graphicData>
            </a:graphic>
          </wp:inline>
        </w:drawing>
      </w:r>
    </w:p>
    <w:p w14:paraId="1B6A4FDD" w14:textId="41B5DB34" w:rsidR="00944BC4" w:rsidRPr="000F434B" w:rsidRDefault="000F434B" w:rsidP="000F434B">
      <w:pPr>
        <w:pStyle w:val="Caption"/>
        <w:jc w:val="center"/>
        <w:rPr>
          <w:rFonts w:ascii="Times New Roman" w:hAnsi="Times New Roman"/>
          <w:i w:val="0"/>
          <w:iCs w:val="0"/>
          <w:color w:val="auto"/>
          <w:sz w:val="22"/>
          <w:szCs w:val="22"/>
          <w:lang w:val="en-US"/>
        </w:rPr>
      </w:pPr>
      <w:bookmarkStart w:id="11" w:name="_Ref146735144"/>
      <w:r w:rsidRPr="000F434B">
        <w:rPr>
          <w:rFonts w:ascii="Times New Roman" w:hAnsi="Times New Roman"/>
          <w:b/>
          <w:bCs/>
          <w:i w:val="0"/>
          <w:iCs w:val="0"/>
          <w:color w:val="auto"/>
          <w:sz w:val="22"/>
          <w:szCs w:val="22"/>
        </w:rPr>
        <w:t xml:space="preserve">Figure </w:t>
      </w:r>
      <w:r w:rsidRPr="000F434B">
        <w:rPr>
          <w:rFonts w:ascii="Times New Roman" w:hAnsi="Times New Roman"/>
          <w:b/>
          <w:bCs/>
          <w:i w:val="0"/>
          <w:iCs w:val="0"/>
          <w:color w:val="auto"/>
          <w:sz w:val="22"/>
          <w:szCs w:val="22"/>
        </w:rPr>
        <w:fldChar w:fldCharType="begin"/>
      </w:r>
      <w:r w:rsidRPr="000F434B">
        <w:rPr>
          <w:rFonts w:ascii="Times New Roman" w:hAnsi="Times New Roman"/>
          <w:b/>
          <w:bCs/>
          <w:i w:val="0"/>
          <w:iCs w:val="0"/>
          <w:color w:val="auto"/>
          <w:sz w:val="22"/>
          <w:szCs w:val="22"/>
        </w:rPr>
        <w:instrText xml:space="preserve"> SEQ Figure \* ARABIC </w:instrText>
      </w:r>
      <w:r w:rsidRPr="000F434B">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9</w:t>
      </w:r>
      <w:r w:rsidRPr="000F434B">
        <w:rPr>
          <w:rFonts w:ascii="Times New Roman" w:hAnsi="Times New Roman"/>
          <w:b/>
          <w:bCs/>
          <w:i w:val="0"/>
          <w:iCs w:val="0"/>
          <w:color w:val="auto"/>
          <w:sz w:val="22"/>
          <w:szCs w:val="22"/>
        </w:rPr>
        <w:fldChar w:fldCharType="end"/>
      </w:r>
      <w:bookmarkEnd w:id="11"/>
      <w:r w:rsidRPr="000F434B">
        <w:rPr>
          <w:rFonts w:ascii="Times New Roman" w:hAnsi="Times New Roman"/>
          <w:i w:val="0"/>
          <w:iCs w:val="0"/>
          <w:color w:val="auto"/>
          <w:sz w:val="22"/>
          <w:szCs w:val="22"/>
        </w:rPr>
        <w:t>. Optimization results for capacity and on-off status of MGT</w:t>
      </w:r>
    </w:p>
    <w:p w14:paraId="0C096E4C" w14:textId="19728FC9" w:rsidR="00944BC4" w:rsidRDefault="00944BC4" w:rsidP="00944BC4">
      <w:pPr>
        <w:pStyle w:val="BodyChar"/>
        <w:rPr>
          <w:rFonts w:ascii="Times New Roman" w:hAnsi="Times New Roman"/>
          <w:lang w:val="en-US"/>
        </w:rPr>
      </w:pPr>
      <w:r w:rsidRPr="00944BC4">
        <w:rPr>
          <w:rFonts w:ascii="Times New Roman" w:hAnsi="Times New Roman"/>
          <w:lang w:val="en-US"/>
        </w:rPr>
        <w:t xml:space="preserve">The day-ahead scheduling results for the microgrid are depicted </w:t>
      </w:r>
      <w:r w:rsidRPr="009775DA">
        <w:rPr>
          <w:rFonts w:ascii="Times New Roman" w:hAnsi="Times New Roman"/>
          <w:lang w:val="en-US"/>
        </w:rPr>
        <w:t xml:space="preserve">in </w:t>
      </w:r>
      <w:r w:rsidR="009775DA" w:rsidRPr="009775DA">
        <w:rPr>
          <w:rFonts w:ascii="Times New Roman" w:hAnsi="Times New Roman"/>
          <w:lang w:val="en-US"/>
        </w:rPr>
        <w:fldChar w:fldCharType="begin"/>
      </w:r>
      <w:r w:rsidR="009775DA" w:rsidRPr="009775DA">
        <w:rPr>
          <w:rFonts w:ascii="Times New Roman" w:hAnsi="Times New Roman"/>
          <w:lang w:val="en-US"/>
        </w:rPr>
        <w:instrText xml:space="preserve"> REF _Ref146735203 \h  \* MERGEFORMAT </w:instrText>
      </w:r>
      <w:r w:rsidR="009775DA" w:rsidRPr="009775DA">
        <w:rPr>
          <w:rFonts w:ascii="Times New Roman" w:hAnsi="Times New Roman"/>
          <w:lang w:val="en-US"/>
        </w:rPr>
      </w:r>
      <w:r w:rsidR="009775DA" w:rsidRPr="009775DA">
        <w:rPr>
          <w:rFonts w:ascii="Times New Roman" w:hAnsi="Times New Roman"/>
          <w:lang w:val="en-US"/>
        </w:rPr>
        <w:fldChar w:fldCharType="separate"/>
      </w:r>
      <w:r w:rsidR="002B44BC" w:rsidRPr="002B44BC">
        <w:rPr>
          <w:rFonts w:ascii="Times New Roman" w:hAnsi="Times New Roman" w:cs="Times New Roman"/>
          <w:color w:val="auto"/>
        </w:rPr>
        <w:t xml:space="preserve">Figure </w:t>
      </w:r>
      <w:r w:rsidR="002B44BC" w:rsidRPr="002B44BC">
        <w:rPr>
          <w:rFonts w:ascii="Times New Roman" w:hAnsi="Times New Roman" w:cs="Times New Roman"/>
          <w:noProof/>
          <w:color w:val="auto"/>
        </w:rPr>
        <w:t>10</w:t>
      </w:r>
      <w:r w:rsidR="009775DA" w:rsidRPr="009775DA">
        <w:rPr>
          <w:rFonts w:ascii="Times New Roman" w:hAnsi="Times New Roman"/>
          <w:lang w:val="en-US"/>
        </w:rPr>
        <w:fldChar w:fldCharType="end"/>
      </w:r>
      <w:r w:rsidRPr="009775DA">
        <w:rPr>
          <w:rFonts w:ascii="Times New Roman" w:hAnsi="Times New Roman"/>
          <w:lang w:val="en-US"/>
        </w:rPr>
        <w:t>.</w:t>
      </w:r>
      <w:r w:rsidRPr="00944BC4">
        <w:rPr>
          <w:rFonts w:ascii="Times New Roman" w:hAnsi="Times New Roman"/>
          <w:lang w:val="en-US"/>
        </w:rPr>
        <w:t xml:space="preserve"> The PV system contributes to electricity generation during the day's peak when solar irradiance is at its highest. MGT operations at 7 am, in the afternoon, and at 8 pm. Any additional demand is supplied through purchased electricity from the grid. Utilizing day-ahead scheduling, an operational cost of 3965 NOK is achieved.</w:t>
      </w:r>
    </w:p>
    <w:p w14:paraId="0F803DB5" w14:textId="77777777" w:rsidR="009775DA" w:rsidRDefault="00944BC4" w:rsidP="009775DA">
      <w:pPr>
        <w:pStyle w:val="BodyChar"/>
        <w:keepNext/>
        <w:jc w:val="center"/>
      </w:pPr>
      <w:r w:rsidRPr="00EF4D91">
        <w:rPr>
          <w:noProof/>
        </w:rPr>
        <w:drawing>
          <wp:inline distT="0" distB="0" distL="0" distR="0" wp14:anchorId="462E4892" wp14:editId="78A2E400">
            <wp:extent cx="4260152" cy="3173829"/>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269525" cy="3180812"/>
                    </a:xfrm>
                    <a:prstGeom prst="rect">
                      <a:avLst/>
                    </a:prstGeom>
                  </pic:spPr>
                </pic:pic>
              </a:graphicData>
            </a:graphic>
          </wp:inline>
        </w:drawing>
      </w:r>
    </w:p>
    <w:p w14:paraId="73A1BFA5" w14:textId="10A679E7" w:rsidR="00944BC4" w:rsidRPr="009775DA" w:rsidRDefault="009775DA" w:rsidP="009775DA">
      <w:pPr>
        <w:pStyle w:val="Caption"/>
        <w:jc w:val="center"/>
        <w:rPr>
          <w:rFonts w:ascii="Times New Roman" w:hAnsi="Times New Roman"/>
          <w:i w:val="0"/>
          <w:iCs w:val="0"/>
          <w:color w:val="auto"/>
          <w:sz w:val="22"/>
          <w:szCs w:val="22"/>
          <w:lang w:val="en-US"/>
        </w:rPr>
      </w:pPr>
      <w:bookmarkStart w:id="12" w:name="_Ref146735203"/>
      <w:r w:rsidRPr="009775DA">
        <w:rPr>
          <w:rFonts w:ascii="Times New Roman" w:hAnsi="Times New Roman"/>
          <w:b/>
          <w:bCs/>
          <w:i w:val="0"/>
          <w:iCs w:val="0"/>
          <w:color w:val="auto"/>
          <w:sz w:val="22"/>
          <w:szCs w:val="22"/>
        </w:rPr>
        <w:t xml:space="preserve">Figure </w:t>
      </w:r>
      <w:r w:rsidRPr="009775DA">
        <w:rPr>
          <w:rFonts w:ascii="Times New Roman" w:hAnsi="Times New Roman"/>
          <w:b/>
          <w:bCs/>
          <w:i w:val="0"/>
          <w:iCs w:val="0"/>
          <w:color w:val="auto"/>
          <w:sz w:val="22"/>
          <w:szCs w:val="22"/>
        </w:rPr>
        <w:fldChar w:fldCharType="begin"/>
      </w:r>
      <w:r w:rsidRPr="009775DA">
        <w:rPr>
          <w:rFonts w:ascii="Times New Roman" w:hAnsi="Times New Roman"/>
          <w:b/>
          <w:bCs/>
          <w:i w:val="0"/>
          <w:iCs w:val="0"/>
          <w:color w:val="auto"/>
          <w:sz w:val="22"/>
          <w:szCs w:val="22"/>
        </w:rPr>
        <w:instrText xml:space="preserve"> SEQ Figure \* ARABIC </w:instrText>
      </w:r>
      <w:r w:rsidRPr="009775DA">
        <w:rPr>
          <w:rFonts w:ascii="Times New Roman" w:hAnsi="Times New Roman"/>
          <w:b/>
          <w:bCs/>
          <w:i w:val="0"/>
          <w:iCs w:val="0"/>
          <w:color w:val="auto"/>
          <w:sz w:val="22"/>
          <w:szCs w:val="22"/>
        </w:rPr>
        <w:fldChar w:fldCharType="separate"/>
      </w:r>
      <w:r w:rsidR="002B44BC">
        <w:rPr>
          <w:rFonts w:ascii="Times New Roman" w:hAnsi="Times New Roman"/>
          <w:b/>
          <w:bCs/>
          <w:i w:val="0"/>
          <w:iCs w:val="0"/>
          <w:noProof/>
          <w:color w:val="auto"/>
          <w:sz w:val="22"/>
          <w:szCs w:val="22"/>
        </w:rPr>
        <w:t>10</w:t>
      </w:r>
      <w:r w:rsidRPr="009775DA">
        <w:rPr>
          <w:rFonts w:ascii="Times New Roman" w:hAnsi="Times New Roman"/>
          <w:b/>
          <w:bCs/>
          <w:i w:val="0"/>
          <w:iCs w:val="0"/>
          <w:color w:val="auto"/>
          <w:sz w:val="22"/>
          <w:szCs w:val="22"/>
        </w:rPr>
        <w:fldChar w:fldCharType="end"/>
      </w:r>
      <w:bookmarkEnd w:id="12"/>
      <w:r w:rsidRPr="009775DA">
        <w:rPr>
          <w:rFonts w:ascii="Times New Roman" w:hAnsi="Times New Roman"/>
          <w:i w:val="0"/>
          <w:iCs w:val="0"/>
          <w:color w:val="auto"/>
          <w:sz w:val="22"/>
          <w:szCs w:val="22"/>
        </w:rPr>
        <w:t>. Day-ahead scheduling of the microgrid</w:t>
      </w:r>
    </w:p>
    <w:p w14:paraId="06CA2ECA" w14:textId="3CE58FE7" w:rsidR="00944BC4" w:rsidRPr="00944BC4" w:rsidRDefault="00944BC4" w:rsidP="00470A9D">
      <w:pPr>
        <w:pStyle w:val="Heading2"/>
        <w:rPr>
          <w:rFonts w:ascii="Times New Roman" w:hAnsi="Times New Roman"/>
        </w:rPr>
      </w:pPr>
      <w:r w:rsidRPr="00944BC4">
        <w:rPr>
          <w:rFonts w:ascii="Times New Roman" w:hAnsi="Times New Roman"/>
        </w:rPr>
        <w:lastRenderedPageBreak/>
        <w:t>Comparison with rule-based operation</w:t>
      </w:r>
    </w:p>
    <w:p w14:paraId="5F93C8FC" w14:textId="77777777" w:rsidR="00944BC4" w:rsidRPr="00944BC4" w:rsidRDefault="00944BC4" w:rsidP="00944BC4">
      <w:pPr>
        <w:pStyle w:val="BodyChar"/>
        <w:rPr>
          <w:rFonts w:ascii="Times New Roman" w:hAnsi="Times New Roman"/>
          <w:lang w:val="en-US"/>
        </w:rPr>
      </w:pPr>
      <w:r w:rsidRPr="00944BC4">
        <w:rPr>
          <w:rFonts w:ascii="Times New Roman" w:hAnsi="Times New Roman"/>
          <w:lang w:val="en-US"/>
        </w:rPr>
        <w:t xml:space="preserve">A comparison was made between the day-ahead scheduling strategy and a rule-based operation approach for the microgrid. Under this rule-based strategy, the priority is to optimize electricity generation through the PV system. When the PV capacity proves insufficient, the MGT steps in to generate electricity and satisfy demand. If the MGT operates at its peak capacity and demand persists, grid electricity is acquired to meet the energy needs. Similarly, the waste heat produced by the MGT is utilized to meet the heating needs. If the waste heat proves inadequate, the GSHP operates to meet the remaining heating demand. </w:t>
      </w:r>
    </w:p>
    <w:p w14:paraId="43926023" w14:textId="77777777" w:rsidR="00944BC4" w:rsidRPr="00944BC4" w:rsidRDefault="00944BC4" w:rsidP="00944BC4">
      <w:pPr>
        <w:pStyle w:val="BodyChar"/>
        <w:rPr>
          <w:rFonts w:ascii="Times New Roman" w:hAnsi="Times New Roman"/>
          <w:lang w:val="en-US"/>
        </w:rPr>
      </w:pPr>
    </w:p>
    <w:p w14:paraId="0207EFFB" w14:textId="0B7C55CC" w:rsidR="00944BC4" w:rsidRDefault="00944BC4" w:rsidP="00944BC4">
      <w:pPr>
        <w:pStyle w:val="BodyChar"/>
        <w:rPr>
          <w:rFonts w:ascii="Times New Roman" w:hAnsi="Times New Roman"/>
          <w:lang w:val="en-US"/>
        </w:rPr>
      </w:pPr>
      <w:r w:rsidRPr="00944BC4">
        <w:rPr>
          <w:rFonts w:ascii="Times New Roman" w:hAnsi="Times New Roman"/>
          <w:lang w:val="en-US"/>
        </w:rPr>
        <w:t>The rule-based operation strategy is applied to the microgrid, considering same electricity and heating demands. This approach results in an operational cost of 8116 NOK. Notably, the implementation of a day-ahead scheduling strategy showcases a significant 51% reduction in operational costs.</w:t>
      </w:r>
    </w:p>
    <w:p w14:paraId="5648EA70" w14:textId="156E7ADB" w:rsidR="00944BC4" w:rsidRPr="00944BC4" w:rsidRDefault="00944BC4" w:rsidP="00944BC4">
      <w:pPr>
        <w:pStyle w:val="Section"/>
        <w:rPr>
          <w:rFonts w:ascii="Times New Roman" w:hAnsi="Times New Roman"/>
        </w:rPr>
      </w:pPr>
      <w:r>
        <w:rPr>
          <w:rFonts w:ascii="Times New Roman" w:hAnsi="Times New Roman"/>
        </w:rPr>
        <w:t>Conclusions</w:t>
      </w:r>
    </w:p>
    <w:p w14:paraId="66E7CB3C" w14:textId="77777777" w:rsidR="00944BC4" w:rsidRPr="00944BC4" w:rsidRDefault="00944BC4" w:rsidP="00944BC4">
      <w:pPr>
        <w:pStyle w:val="BodytextIndented"/>
        <w:ind w:firstLine="0"/>
        <w:rPr>
          <w:rFonts w:ascii="Times New Roman" w:hAnsi="Times New Roman"/>
        </w:rPr>
      </w:pPr>
      <w:r w:rsidRPr="00944BC4">
        <w:rPr>
          <w:rFonts w:ascii="Times New Roman" w:hAnsi="Times New Roman"/>
        </w:rPr>
        <w:t>A day-ahead scheduling for the microgrid, integrating a MGT, PV system, and GSHP, is conducted to meet the heating and electricity demands of the office building. Key conclusions from this study can be outlined as follows:</w:t>
      </w:r>
    </w:p>
    <w:p w14:paraId="1A04F4E4" w14:textId="77777777" w:rsidR="00944BC4" w:rsidRDefault="00944BC4" w:rsidP="00944BC4">
      <w:pPr>
        <w:pStyle w:val="BodytextIndented"/>
        <w:numPr>
          <w:ilvl w:val="0"/>
          <w:numId w:val="26"/>
        </w:numPr>
        <w:rPr>
          <w:rFonts w:ascii="Times New Roman" w:hAnsi="Times New Roman"/>
        </w:rPr>
      </w:pPr>
      <w:r w:rsidRPr="00944BC4">
        <w:rPr>
          <w:rFonts w:ascii="Times New Roman" w:hAnsi="Times New Roman"/>
        </w:rPr>
        <w:t>The models for the primary components within the microgrid were developed and validated. The MAPE for the borehole heat exchanger model was recorded at 2.81%, while the MAPE for the PV system model stood at 6%.</w:t>
      </w:r>
    </w:p>
    <w:p w14:paraId="1AD0D4FE" w14:textId="77777777" w:rsidR="00944BC4" w:rsidRDefault="00944BC4" w:rsidP="00944BC4">
      <w:pPr>
        <w:pStyle w:val="BodytextIndented"/>
        <w:numPr>
          <w:ilvl w:val="0"/>
          <w:numId w:val="26"/>
        </w:numPr>
        <w:rPr>
          <w:rFonts w:ascii="Times New Roman" w:hAnsi="Times New Roman"/>
        </w:rPr>
      </w:pPr>
      <w:r w:rsidRPr="00944BC4">
        <w:rPr>
          <w:rFonts w:ascii="Times New Roman" w:hAnsi="Times New Roman"/>
        </w:rPr>
        <w:t>The microgrid's operation cost was minimized by optimizing the capacity and on-off status of the MGT using a genetic algorithm, considering the provided demand profile and energy price. The optimal scheduling obtained resulted in a daily operation cost of 3965 NOK.</w:t>
      </w:r>
    </w:p>
    <w:p w14:paraId="29BFF2A4" w14:textId="201215E3" w:rsidR="00782179" w:rsidRPr="00C103DB" w:rsidRDefault="00944BC4" w:rsidP="00C103DB">
      <w:pPr>
        <w:pStyle w:val="BodytextIndented"/>
        <w:numPr>
          <w:ilvl w:val="0"/>
          <w:numId w:val="26"/>
        </w:numPr>
        <w:rPr>
          <w:rFonts w:ascii="Times New Roman" w:hAnsi="Times New Roman"/>
        </w:rPr>
      </w:pPr>
      <w:r w:rsidRPr="00944BC4">
        <w:rPr>
          <w:rFonts w:ascii="Times New Roman" w:hAnsi="Times New Roman"/>
        </w:rPr>
        <w:t>A comparison was conducted between a rule-based operation strategy and a day-ahead scheduling strategy for the microgrid. The comparison revealed that the day-ahead scheduling strategy achieved a 51% reduction in operation costs compared to the rule-based operation strategy.</w:t>
      </w:r>
    </w:p>
    <w:p w14:paraId="584680E1" w14:textId="7E2E23B1" w:rsidR="00604985" w:rsidRDefault="00604985" w:rsidP="00604985">
      <w:pPr>
        <w:pStyle w:val="Section"/>
        <w:numPr>
          <w:ilvl w:val="0"/>
          <w:numId w:val="0"/>
        </w:numPr>
        <w:rPr>
          <w:rFonts w:ascii="Times New Roman" w:hAnsi="Times New Roman"/>
        </w:rPr>
      </w:pPr>
      <w:r w:rsidRPr="00604985">
        <w:rPr>
          <w:rFonts w:ascii="Times New Roman" w:hAnsi="Times New Roman"/>
        </w:rPr>
        <w:t>Abbreviation</w:t>
      </w:r>
    </w:p>
    <w:p w14:paraId="5105A73E" w14:textId="77777777" w:rsidR="00604985" w:rsidRPr="00604985" w:rsidRDefault="00604985" w:rsidP="00604985">
      <w:pPr>
        <w:pStyle w:val="BodytextIndented"/>
        <w:ind w:firstLine="0"/>
        <w:rPr>
          <w:rFonts w:ascii="Times New Roman" w:hAnsi="Times New Roman"/>
        </w:rPr>
      </w:pPr>
      <w:r w:rsidRPr="00604985">
        <w:rPr>
          <w:rFonts w:ascii="Times New Roman" w:hAnsi="Times New Roman"/>
        </w:rPr>
        <w:t>ANN – Artificial neural network</w:t>
      </w:r>
    </w:p>
    <w:p w14:paraId="60EDDCEC" w14:textId="77777777" w:rsidR="00604985" w:rsidRPr="00604985" w:rsidRDefault="00604985" w:rsidP="00604985">
      <w:pPr>
        <w:pStyle w:val="BodytextIndented"/>
        <w:ind w:firstLine="0"/>
        <w:rPr>
          <w:rFonts w:ascii="Times New Roman" w:hAnsi="Times New Roman"/>
        </w:rPr>
      </w:pPr>
      <w:r w:rsidRPr="00604985">
        <w:rPr>
          <w:rFonts w:ascii="Times New Roman" w:hAnsi="Times New Roman"/>
        </w:rPr>
        <w:t>CO</w:t>
      </w:r>
      <w:r w:rsidRPr="00125017">
        <w:rPr>
          <w:rFonts w:ascii="Times New Roman" w:hAnsi="Times New Roman"/>
          <w:vertAlign w:val="subscript"/>
        </w:rPr>
        <w:t>2</w:t>
      </w:r>
      <w:r w:rsidRPr="00604985">
        <w:rPr>
          <w:rFonts w:ascii="Times New Roman" w:hAnsi="Times New Roman"/>
        </w:rPr>
        <w:t xml:space="preserve"> – Carbon dioxide</w:t>
      </w:r>
    </w:p>
    <w:p w14:paraId="20413D0D" w14:textId="7C13A04F" w:rsidR="00604985" w:rsidRPr="00604985" w:rsidRDefault="00604985" w:rsidP="00604985">
      <w:pPr>
        <w:pStyle w:val="BodytextIndented"/>
        <w:ind w:firstLine="0"/>
        <w:rPr>
          <w:rFonts w:ascii="Times New Roman" w:hAnsi="Times New Roman"/>
        </w:rPr>
      </w:pPr>
      <w:r w:rsidRPr="00604985">
        <w:rPr>
          <w:rFonts w:ascii="Times New Roman" w:hAnsi="Times New Roman"/>
        </w:rPr>
        <w:t>FFNN – Feed</w:t>
      </w:r>
      <w:r w:rsidR="00FB5D68">
        <w:rPr>
          <w:rFonts w:ascii="Times New Roman" w:hAnsi="Times New Roman"/>
        </w:rPr>
        <w:t>-</w:t>
      </w:r>
      <w:r w:rsidRPr="00604985">
        <w:rPr>
          <w:rFonts w:ascii="Times New Roman" w:hAnsi="Times New Roman"/>
        </w:rPr>
        <w:t>forward neural network</w:t>
      </w:r>
    </w:p>
    <w:p w14:paraId="01CFE41C" w14:textId="77777777" w:rsidR="00604985" w:rsidRPr="00604985" w:rsidRDefault="00604985" w:rsidP="00604985">
      <w:pPr>
        <w:pStyle w:val="BodytextIndented"/>
        <w:ind w:firstLine="0"/>
        <w:rPr>
          <w:rFonts w:ascii="Times New Roman" w:hAnsi="Times New Roman"/>
        </w:rPr>
      </w:pPr>
      <w:r w:rsidRPr="00604985">
        <w:rPr>
          <w:rFonts w:ascii="Times New Roman" w:hAnsi="Times New Roman"/>
        </w:rPr>
        <w:t>GSHP – Ground source heat pump</w:t>
      </w:r>
    </w:p>
    <w:p w14:paraId="1F6EA51F" w14:textId="77777777" w:rsidR="00604985" w:rsidRPr="00604985" w:rsidRDefault="00604985" w:rsidP="00604985">
      <w:pPr>
        <w:pStyle w:val="BodytextIndented"/>
        <w:ind w:firstLine="0"/>
        <w:rPr>
          <w:rFonts w:ascii="Times New Roman" w:hAnsi="Times New Roman"/>
        </w:rPr>
      </w:pPr>
      <w:r w:rsidRPr="00604985">
        <w:rPr>
          <w:rFonts w:ascii="Times New Roman" w:hAnsi="Times New Roman"/>
        </w:rPr>
        <w:t xml:space="preserve">MAPE – Mean absolute percentage </w:t>
      </w:r>
      <w:proofErr w:type="gramStart"/>
      <w:r w:rsidRPr="00604985">
        <w:rPr>
          <w:rFonts w:ascii="Times New Roman" w:hAnsi="Times New Roman"/>
        </w:rPr>
        <w:t>error</w:t>
      </w:r>
      <w:proofErr w:type="gramEnd"/>
    </w:p>
    <w:p w14:paraId="72C14A69" w14:textId="77777777" w:rsidR="00604985" w:rsidRPr="00604985" w:rsidRDefault="00604985" w:rsidP="00604985">
      <w:pPr>
        <w:pStyle w:val="BodytextIndented"/>
        <w:ind w:firstLine="0"/>
        <w:rPr>
          <w:rFonts w:ascii="Times New Roman" w:hAnsi="Times New Roman"/>
        </w:rPr>
      </w:pPr>
      <w:r w:rsidRPr="00604985">
        <w:rPr>
          <w:rFonts w:ascii="Times New Roman" w:hAnsi="Times New Roman"/>
        </w:rPr>
        <w:t>MGT – Micro gas turbine</w:t>
      </w:r>
    </w:p>
    <w:p w14:paraId="7C509F2B" w14:textId="77777777" w:rsidR="00604985" w:rsidRPr="00604985" w:rsidRDefault="00604985" w:rsidP="00604985">
      <w:pPr>
        <w:pStyle w:val="BodytextIndented"/>
        <w:ind w:firstLine="0"/>
        <w:rPr>
          <w:rFonts w:ascii="Times New Roman" w:hAnsi="Times New Roman"/>
        </w:rPr>
      </w:pPr>
      <w:r w:rsidRPr="00604985">
        <w:rPr>
          <w:rFonts w:ascii="Times New Roman" w:hAnsi="Times New Roman"/>
        </w:rPr>
        <w:t>PV – Photovoltaic</w:t>
      </w:r>
    </w:p>
    <w:p w14:paraId="3FAAB53B" w14:textId="3BF72CBB" w:rsidR="00604985" w:rsidRDefault="00604985" w:rsidP="00604985">
      <w:pPr>
        <w:pStyle w:val="BodytextIndented"/>
        <w:ind w:firstLine="0"/>
        <w:rPr>
          <w:rFonts w:ascii="Times New Roman" w:hAnsi="Times New Roman"/>
        </w:rPr>
      </w:pPr>
      <w:r w:rsidRPr="00604985">
        <w:rPr>
          <w:rFonts w:ascii="Times New Roman" w:hAnsi="Times New Roman"/>
        </w:rPr>
        <w:t>TRCM – Thermal resistance and capacity model</w:t>
      </w:r>
    </w:p>
    <w:p w14:paraId="3B96E5B4" w14:textId="77777777" w:rsidR="00604985" w:rsidRPr="00944BC4" w:rsidRDefault="00604985" w:rsidP="00417D9B">
      <w:pPr>
        <w:pStyle w:val="BodytextIndented"/>
        <w:ind w:firstLine="0"/>
        <w:rPr>
          <w:rFonts w:ascii="Times New Roman" w:hAnsi="Times New Roman"/>
        </w:rPr>
      </w:pPr>
    </w:p>
    <w:p w14:paraId="1E45DFC4" w14:textId="1924406B" w:rsidR="009A0487" w:rsidRPr="00BC2B17" w:rsidRDefault="009A0487" w:rsidP="00B90CE9">
      <w:pPr>
        <w:pStyle w:val="Sectionnonumber"/>
        <w:rPr>
          <w:sz w:val="18"/>
          <w:szCs w:val="18"/>
        </w:rPr>
      </w:pPr>
      <w:r>
        <w:t>References</w:t>
      </w:r>
      <w:r w:rsidR="00BC2B17">
        <w:t xml:space="preserve"> </w:t>
      </w:r>
    </w:p>
    <w:p w14:paraId="4115A6D6" w14:textId="7E80460B" w:rsidR="00A14CC9" w:rsidRDefault="00A14CC9" w:rsidP="006704C9">
      <w:pPr>
        <w:pStyle w:val="Reference"/>
        <w:tabs>
          <w:tab w:val="clear" w:pos="0"/>
        </w:tabs>
        <w:ind w:left="851" w:hanging="851"/>
        <w:rPr>
          <w:rFonts w:ascii="SohoGothic" w:hAnsi="SohoGothic" w:cs="Helvetica" w:hint="eastAsia"/>
          <w:color w:val="050F42"/>
          <w:sz w:val="21"/>
          <w:szCs w:val="21"/>
        </w:rPr>
      </w:pPr>
      <w:r w:rsidRPr="00A14CC9">
        <w:rPr>
          <w:rFonts w:ascii="SohoGothic" w:hAnsi="SohoGothic" w:cs="Helvetica"/>
          <w:color w:val="050F42"/>
          <w:sz w:val="21"/>
          <w:szCs w:val="21"/>
        </w:rPr>
        <w:t xml:space="preserve">Gu, W., Wu, Z., Bo, R., Wei, L., Zhou, G., Chen, W., &amp; Wu, Z. (2014). Modeling, planning and optimal energy management of combined cooling, heating and power microgrid: A review. International Journal of Electrical Power &amp; Energy Systems, 54, 26–37. </w:t>
      </w:r>
      <w:hyperlink r:id="rId24" w:history="1">
        <w:r w:rsidRPr="004D5D23">
          <w:rPr>
            <w:rStyle w:val="Hyperlink"/>
            <w:rFonts w:ascii="SohoGothic" w:hAnsi="SohoGothic" w:cs="Helvetica"/>
            <w:sz w:val="21"/>
            <w:szCs w:val="21"/>
          </w:rPr>
          <w:t>https://doi.org/10.1016/j.ijepes.2013.06.028</w:t>
        </w:r>
      </w:hyperlink>
    </w:p>
    <w:p w14:paraId="510D96FC" w14:textId="699702A9" w:rsidR="00A14CC9" w:rsidRDefault="00BD26D4" w:rsidP="006704C9">
      <w:pPr>
        <w:pStyle w:val="Reference"/>
        <w:tabs>
          <w:tab w:val="clear" w:pos="0"/>
        </w:tabs>
        <w:ind w:left="851" w:hanging="851"/>
        <w:rPr>
          <w:rFonts w:ascii="SohoGothic" w:hAnsi="SohoGothic" w:cs="Helvetica" w:hint="eastAsia"/>
          <w:color w:val="050F42"/>
          <w:sz w:val="21"/>
          <w:szCs w:val="21"/>
        </w:rPr>
      </w:pPr>
      <w:r w:rsidRPr="00BD26D4">
        <w:rPr>
          <w:rFonts w:ascii="SohoGothic" w:hAnsi="SohoGothic" w:cs="Helvetica"/>
          <w:color w:val="050F42"/>
          <w:sz w:val="21"/>
          <w:szCs w:val="21"/>
        </w:rPr>
        <w:t xml:space="preserve">Das BK, Tushar MSHK, Zaman F. Techno-economic feasibility and size optimisation of an off-grid hybrid system for supplying electricity and thermal loads. Energy 2021;215:119141. </w:t>
      </w:r>
      <w:hyperlink r:id="rId25" w:history="1">
        <w:r w:rsidRPr="004D5D23">
          <w:rPr>
            <w:rStyle w:val="Hyperlink"/>
            <w:rFonts w:ascii="SohoGothic" w:hAnsi="SohoGothic" w:cs="Helvetica"/>
            <w:sz w:val="21"/>
            <w:szCs w:val="21"/>
          </w:rPr>
          <w:t>https://doi.org/10.1016/j.energy.2020.119141</w:t>
        </w:r>
      </w:hyperlink>
      <w:r w:rsidRPr="00BD26D4">
        <w:rPr>
          <w:rFonts w:ascii="SohoGothic" w:hAnsi="SohoGothic" w:cs="Helvetica"/>
          <w:color w:val="050F42"/>
          <w:sz w:val="21"/>
          <w:szCs w:val="21"/>
        </w:rPr>
        <w:t>.</w:t>
      </w:r>
    </w:p>
    <w:p w14:paraId="2068AAA8" w14:textId="701F9F40" w:rsidR="00BD26D4" w:rsidRDefault="00536F49" w:rsidP="006704C9">
      <w:pPr>
        <w:pStyle w:val="Reference"/>
        <w:tabs>
          <w:tab w:val="clear" w:pos="0"/>
        </w:tabs>
        <w:ind w:left="851" w:hanging="851"/>
        <w:rPr>
          <w:rFonts w:ascii="SohoGothic" w:hAnsi="SohoGothic" w:cs="Helvetica" w:hint="eastAsia"/>
          <w:color w:val="050F42"/>
          <w:sz w:val="21"/>
          <w:szCs w:val="21"/>
        </w:rPr>
      </w:pPr>
      <w:r w:rsidRPr="00536F49">
        <w:rPr>
          <w:rFonts w:ascii="SohoGothic" w:hAnsi="SohoGothic" w:cs="Helvetica"/>
          <w:color w:val="050F42"/>
          <w:sz w:val="21"/>
          <w:szCs w:val="21"/>
        </w:rPr>
        <w:t xml:space="preserve">Kumar N, Karmakar S. Techno-economics of a trigeneration HRES; a step towards sustainable development. Renew Energy 2022;198:833–40. </w:t>
      </w:r>
      <w:hyperlink r:id="rId26" w:history="1">
        <w:r w:rsidRPr="004D5D23">
          <w:rPr>
            <w:rStyle w:val="Hyperlink"/>
            <w:rFonts w:ascii="SohoGothic" w:hAnsi="SohoGothic" w:cs="Helvetica"/>
            <w:sz w:val="21"/>
            <w:szCs w:val="21"/>
          </w:rPr>
          <w:t>https://doi.org/10.1016/j.renene.2022.08.107</w:t>
        </w:r>
      </w:hyperlink>
      <w:r w:rsidRPr="00536F49">
        <w:rPr>
          <w:rFonts w:ascii="SohoGothic" w:hAnsi="SohoGothic" w:cs="Helvetica"/>
          <w:color w:val="050F42"/>
          <w:sz w:val="21"/>
          <w:szCs w:val="21"/>
        </w:rPr>
        <w:t>.</w:t>
      </w:r>
    </w:p>
    <w:p w14:paraId="2E33D9C9" w14:textId="073A29E2" w:rsidR="00536F49" w:rsidRDefault="00536F49" w:rsidP="006704C9">
      <w:pPr>
        <w:pStyle w:val="Reference"/>
        <w:tabs>
          <w:tab w:val="clear" w:pos="0"/>
        </w:tabs>
        <w:ind w:left="851" w:hanging="851"/>
        <w:rPr>
          <w:rFonts w:ascii="SohoGothic" w:hAnsi="SohoGothic" w:cs="Helvetica" w:hint="eastAsia"/>
          <w:color w:val="050F42"/>
          <w:sz w:val="21"/>
          <w:szCs w:val="21"/>
        </w:rPr>
      </w:pPr>
      <w:r w:rsidRPr="00536F49">
        <w:rPr>
          <w:rFonts w:ascii="SohoGothic" w:hAnsi="SohoGothic" w:cs="Helvetica"/>
          <w:color w:val="050F42"/>
          <w:sz w:val="21"/>
          <w:szCs w:val="21"/>
        </w:rPr>
        <w:t xml:space="preserve">Pallante, A., Adacher, L., Botticelli, M., Pizzuti, S., Comodi, G., &amp; Monteriù, A. (2020). Decision support methodologies and day-ahead optimization for smart building energy management in a dynamic pricing scenario. Energy and Buildings, 216, 109963. </w:t>
      </w:r>
      <w:hyperlink r:id="rId27" w:history="1">
        <w:r w:rsidRPr="004D5D23">
          <w:rPr>
            <w:rStyle w:val="Hyperlink"/>
            <w:rFonts w:ascii="SohoGothic" w:hAnsi="SohoGothic" w:cs="Helvetica"/>
            <w:sz w:val="21"/>
            <w:szCs w:val="21"/>
          </w:rPr>
          <w:t>https://doi.org/10.1016/j.enbuild.2020.109963</w:t>
        </w:r>
      </w:hyperlink>
    </w:p>
    <w:p w14:paraId="0F5ADD26" w14:textId="0BCF278F" w:rsidR="00B221C4" w:rsidRDefault="00A44EE3" w:rsidP="00B221C4">
      <w:pPr>
        <w:pStyle w:val="Reference"/>
        <w:tabs>
          <w:tab w:val="clear" w:pos="0"/>
        </w:tabs>
        <w:ind w:left="851" w:hanging="851"/>
        <w:rPr>
          <w:rFonts w:ascii="SohoGothic" w:hAnsi="SohoGothic" w:cs="Helvetica" w:hint="eastAsia"/>
          <w:color w:val="050F42"/>
          <w:sz w:val="21"/>
          <w:szCs w:val="21"/>
        </w:rPr>
      </w:pPr>
      <w:r w:rsidRPr="00A44EE3">
        <w:rPr>
          <w:rFonts w:ascii="SohoGothic" w:hAnsi="SohoGothic" w:cs="Helvetica"/>
          <w:color w:val="050F42"/>
          <w:sz w:val="21"/>
          <w:szCs w:val="21"/>
        </w:rPr>
        <w:lastRenderedPageBreak/>
        <w:t xml:space="preserve">Reynolds, J., Rezgui, Y., Kwan, A. S. K., &amp; Piriou, S. (2018). A zone-level, building energy optimisation combining an artificial neural network, a genetic algorithm, and model predictive control. Energy, 151, 729–739. </w:t>
      </w:r>
      <w:hyperlink r:id="rId28" w:history="1">
        <w:r w:rsidR="00B221C4" w:rsidRPr="004D5D23">
          <w:rPr>
            <w:rStyle w:val="Hyperlink"/>
            <w:rFonts w:ascii="SohoGothic" w:hAnsi="SohoGothic" w:cs="Helvetica"/>
            <w:sz w:val="21"/>
            <w:szCs w:val="21"/>
          </w:rPr>
          <w:t>https://doi.org/10.1016/j.energy.2018.03.113</w:t>
        </w:r>
      </w:hyperlink>
    </w:p>
    <w:p w14:paraId="242D7D62" w14:textId="67F54B57" w:rsidR="00B221C4" w:rsidRDefault="00D60255" w:rsidP="00B221C4">
      <w:pPr>
        <w:pStyle w:val="Reference"/>
        <w:tabs>
          <w:tab w:val="clear" w:pos="0"/>
        </w:tabs>
        <w:ind w:left="851" w:hanging="851"/>
        <w:rPr>
          <w:rFonts w:ascii="SohoGothic" w:hAnsi="SohoGothic" w:cs="Helvetica" w:hint="eastAsia"/>
          <w:color w:val="050F42"/>
          <w:sz w:val="21"/>
          <w:szCs w:val="21"/>
        </w:rPr>
      </w:pPr>
      <w:r w:rsidRPr="00D60255">
        <w:rPr>
          <w:rFonts w:ascii="SohoGothic" w:hAnsi="SohoGothic" w:cs="Helvetica"/>
          <w:color w:val="050F42"/>
          <w:sz w:val="21"/>
          <w:szCs w:val="21"/>
        </w:rPr>
        <w:t xml:space="preserve">Jorissen F, Reynders G, Baetens R, Picard D, Saelens D, Helsen L. Implementation and verification of the IDEAS building energy simulation library. J Build Perform Simul 2018;11:669–88. </w:t>
      </w:r>
      <w:hyperlink r:id="rId29" w:history="1">
        <w:r w:rsidRPr="004D5D23">
          <w:rPr>
            <w:rStyle w:val="Hyperlink"/>
            <w:rFonts w:ascii="SohoGothic" w:hAnsi="SohoGothic" w:cs="Helvetica"/>
            <w:sz w:val="21"/>
            <w:szCs w:val="21"/>
          </w:rPr>
          <w:t>https://doi.org/10.1080/19401493.2018.1428361</w:t>
        </w:r>
      </w:hyperlink>
      <w:r w:rsidRPr="00D60255">
        <w:rPr>
          <w:rFonts w:ascii="SohoGothic" w:hAnsi="SohoGothic" w:cs="Helvetica"/>
          <w:color w:val="050F42"/>
          <w:sz w:val="21"/>
          <w:szCs w:val="21"/>
        </w:rPr>
        <w:t>.</w:t>
      </w:r>
    </w:p>
    <w:p w14:paraId="07C9218C" w14:textId="3D4D56D9" w:rsidR="00D60255" w:rsidRDefault="00D60255" w:rsidP="00B221C4">
      <w:pPr>
        <w:pStyle w:val="Reference"/>
        <w:tabs>
          <w:tab w:val="clear" w:pos="0"/>
        </w:tabs>
        <w:ind w:left="851" w:hanging="851"/>
        <w:rPr>
          <w:rFonts w:ascii="SohoGothic" w:hAnsi="SohoGothic" w:cs="Helvetica" w:hint="eastAsia"/>
          <w:color w:val="050F42"/>
          <w:sz w:val="21"/>
          <w:szCs w:val="21"/>
        </w:rPr>
      </w:pPr>
      <w:r w:rsidRPr="00D60255">
        <w:rPr>
          <w:rFonts w:ascii="SohoGothic" w:hAnsi="SohoGothic" w:cs="Helvetica"/>
          <w:color w:val="050F42"/>
          <w:sz w:val="21"/>
          <w:szCs w:val="21"/>
        </w:rPr>
        <w:t xml:space="preserve">Wetter M, Zuo W, Nouidui TS, Pang X. Modelica Buildings library. J Build Perform Simul 2014;7:253–70. </w:t>
      </w:r>
      <w:hyperlink r:id="rId30" w:history="1">
        <w:r w:rsidR="00896887" w:rsidRPr="004D5D23">
          <w:rPr>
            <w:rStyle w:val="Hyperlink"/>
            <w:rFonts w:ascii="SohoGothic" w:hAnsi="SohoGothic" w:cs="Helvetica"/>
            <w:sz w:val="21"/>
            <w:szCs w:val="21"/>
          </w:rPr>
          <w:t>https://doi.org/10.1080/19401493.2013.765506</w:t>
        </w:r>
      </w:hyperlink>
      <w:r w:rsidRPr="00D60255">
        <w:rPr>
          <w:rFonts w:ascii="SohoGothic" w:hAnsi="SohoGothic" w:cs="Helvetica"/>
          <w:color w:val="050F42"/>
          <w:sz w:val="21"/>
          <w:szCs w:val="21"/>
        </w:rPr>
        <w:t>.</w:t>
      </w:r>
    </w:p>
    <w:p w14:paraId="05DB7307" w14:textId="34DF13B2" w:rsidR="00896887" w:rsidRDefault="00896887" w:rsidP="00B221C4">
      <w:pPr>
        <w:pStyle w:val="Reference"/>
        <w:tabs>
          <w:tab w:val="clear" w:pos="0"/>
        </w:tabs>
        <w:ind w:left="851" w:hanging="851"/>
        <w:rPr>
          <w:rFonts w:ascii="SohoGothic" w:hAnsi="SohoGothic" w:cs="Helvetica" w:hint="eastAsia"/>
          <w:color w:val="050F42"/>
          <w:sz w:val="21"/>
          <w:szCs w:val="21"/>
        </w:rPr>
      </w:pPr>
      <w:r w:rsidRPr="00896887">
        <w:rPr>
          <w:rFonts w:ascii="SohoGothic" w:hAnsi="SohoGothic" w:cs="Helvetica"/>
          <w:color w:val="050F42"/>
          <w:sz w:val="21"/>
          <w:szCs w:val="21"/>
        </w:rPr>
        <w:t>Müller D, Lauster M, Constantin A, Fuchs M, Remmen P. AixLib - An Open-Source Modelica Library within the IEA-EBC Annex 60 Framework</w:t>
      </w:r>
      <w:r>
        <w:rPr>
          <w:rFonts w:ascii="SohoGothic" w:hAnsi="SohoGothic" w:cs="Helvetica"/>
          <w:color w:val="050F42"/>
          <w:sz w:val="21"/>
          <w:szCs w:val="21"/>
        </w:rPr>
        <w:t>.</w:t>
      </w:r>
    </w:p>
    <w:p w14:paraId="30DF0544" w14:textId="47340481" w:rsidR="002543AC" w:rsidRDefault="002543AC" w:rsidP="00B221C4">
      <w:pPr>
        <w:pStyle w:val="Reference"/>
        <w:tabs>
          <w:tab w:val="clear" w:pos="0"/>
        </w:tabs>
        <w:ind w:left="851" w:hanging="851"/>
        <w:rPr>
          <w:rFonts w:ascii="SohoGothic" w:hAnsi="SohoGothic" w:cs="Helvetica" w:hint="eastAsia"/>
          <w:color w:val="050F42"/>
          <w:sz w:val="21"/>
          <w:szCs w:val="21"/>
        </w:rPr>
      </w:pPr>
      <w:r w:rsidRPr="002543AC">
        <w:rPr>
          <w:rFonts w:ascii="SohoGothic" w:hAnsi="SohoGothic" w:cs="Helvetica"/>
          <w:color w:val="050F42"/>
          <w:sz w:val="21"/>
          <w:szCs w:val="21"/>
        </w:rPr>
        <w:t xml:space="preserve">Nytsch-Geusen C, Huber J, Ljubijankic M, Rädler J. Modelica BuildingSystems − eine Modellbibliothek zur Simulation komplexer energietechnischer Gebäudesysteme. Bauphysik 2013;35:21–9. </w:t>
      </w:r>
      <w:hyperlink r:id="rId31" w:history="1">
        <w:r w:rsidRPr="004D5D23">
          <w:rPr>
            <w:rStyle w:val="Hyperlink"/>
            <w:rFonts w:ascii="SohoGothic" w:hAnsi="SohoGothic" w:cs="Helvetica"/>
            <w:sz w:val="21"/>
            <w:szCs w:val="21"/>
          </w:rPr>
          <w:t>https://doi.org/10.1002/bapi.201310045</w:t>
        </w:r>
      </w:hyperlink>
      <w:r w:rsidRPr="002543AC">
        <w:rPr>
          <w:rFonts w:ascii="SohoGothic" w:hAnsi="SohoGothic" w:cs="Helvetica"/>
          <w:color w:val="050F42"/>
          <w:sz w:val="21"/>
          <w:szCs w:val="21"/>
        </w:rPr>
        <w:t>.</w:t>
      </w:r>
    </w:p>
    <w:p w14:paraId="5C54EBDD" w14:textId="43C1C18A" w:rsidR="00C95E93" w:rsidRDefault="00C95E93" w:rsidP="00C95E93">
      <w:pPr>
        <w:pStyle w:val="Reference"/>
        <w:tabs>
          <w:tab w:val="clear" w:pos="0"/>
        </w:tabs>
        <w:ind w:left="851" w:hanging="851"/>
        <w:rPr>
          <w:rFonts w:ascii="SohoGothic" w:hAnsi="SohoGothic" w:cs="Helvetica" w:hint="eastAsia"/>
          <w:color w:val="050F42"/>
          <w:sz w:val="21"/>
          <w:szCs w:val="21"/>
        </w:rPr>
      </w:pPr>
      <w:r>
        <w:rPr>
          <w:rFonts w:ascii="SohoGothic" w:hAnsi="SohoGothic" w:cs="Helvetica"/>
          <w:color w:val="050F42"/>
          <w:sz w:val="21"/>
          <w:szCs w:val="21"/>
        </w:rPr>
        <w:t>Zhang</w:t>
      </w:r>
      <w:r w:rsidRPr="00C95E93">
        <w:rPr>
          <w:rFonts w:ascii="SohoGothic" w:hAnsi="SohoGothic" w:cs="Helvetica"/>
          <w:color w:val="050F42"/>
          <w:sz w:val="21"/>
          <w:szCs w:val="21"/>
        </w:rPr>
        <w:t xml:space="preserve">, </w:t>
      </w:r>
      <w:r>
        <w:rPr>
          <w:rFonts w:ascii="SohoGothic" w:hAnsi="SohoGothic" w:cs="Helvetica"/>
          <w:color w:val="050F42"/>
          <w:sz w:val="21"/>
          <w:szCs w:val="21"/>
        </w:rPr>
        <w:t>Q</w:t>
      </w:r>
      <w:r w:rsidRPr="00C95E93">
        <w:rPr>
          <w:rFonts w:ascii="SohoGothic" w:hAnsi="SohoGothic" w:cs="Helvetica"/>
          <w:color w:val="050F42"/>
          <w:sz w:val="21"/>
          <w:szCs w:val="21"/>
        </w:rPr>
        <w:t xml:space="preserve">., Banihabib, </w:t>
      </w:r>
      <w:r>
        <w:rPr>
          <w:rFonts w:ascii="SohoGothic" w:hAnsi="SohoGothic" w:cs="Helvetica"/>
          <w:color w:val="050F42"/>
          <w:sz w:val="21"/>
          <w:szCs w:val="21"/>
        </w:rPr>
        <w:t>R</w:t>
      </w:r>
      <w:r w:rsidRPr="00C95E93">
        <w:rPr>
          <w:rFonts w:ascii="SohoGothic" w:hAnsi="SohoGothic" w:cs="Helvetica"/>
          <w:color w:val="050F42"/>
          <w:sz w:val="21"/>
          <w:szCs w:val="21"/>
        </w:rPr>
        <w:t>.,</w:t>
      </w:r>
      <w:r>
        <w:rPr>
          <w:rFonts w:ascii="SohoGothic" w:hAnsi="SohoGothic" w:cs="Helvetica"/>
          <w:color w:val="050F42"/>
          <w:sz w:val="21"/>
          <w:szCs w:val="21"/>
        </w:rPr>
        <w:t xml:space="preserve"> </w:t>
      </w:r>
      <w:r w:rsidRPr="00C95E93">
        <w:rPr>
          <w:rFonts w:ascii="SohoGothic" w:hAnsi="SohoGothic" w:cs="Helvetica"/>
          <w:color w:val="050F42"/>
          <w:sz w:val="21"/>
          <w:szCs w:val="21"/>
        </w:rPr>
        <w:t xml:space="preserve">Fadnes, </w:t>
      </w:r>
      <w:r>
        <w:rPr>
          <w:rFonts w:ascii="SohoGothic" w:hAnsi="SohoGothic" w:cs="Helvetica"/>
          <w:color w:val="050F42"/>
          <w:sz w:val="21"/>
          <w:szCs w:val="21"/>
        </w:rPr>
        <w:t>F</w:t>
      </w:r>
      <w:r w:rsidRPr="00C95E93">
        <w:rPr>
          <w:rFonts w:ascii="SohoGothic" w:hAnsi="SohoGothic" w:cs="Helvetica"/>
          <w:color w:val="050F42"/>
          <w:sz w:val="21"/>
          <w:szCs w:val="21"/>
        </w:rPr>
        <w:t>., Sazon</w:t>
      </w:r>
      <w:r>
        <w:rPr>
          <w:rFonts w:ascii="SohoGothic" w:hAnsi="SohoGothic" w:cs="Helvetica"/>
          <w:color w:val="050F42"/>
          <w:sz w:val="21"/>
          <w:szCs w:val="21"/>
        </w:rPr>
        <w:t xml:space="preserve">, T., </w:t>
      </w:r>
      <w:r w:rsidRPr="00C95E93">
        <w:rPr>
          <w:rFonts w:ascii="SohoGothic" w:hAnsi="SohoGothic" w:cs="Helvetica"/>
          <w:color w:val="050F42"/>
          <w:sz w:val="21"/>
          <w:szCs w:val="21"/>
        </w:rPr>
        <w:t>Ahmed</w:t>
      </w:r>
      <w:r>
        <w:rPr>
          <w:rFonts w:ascii="SohoGothic" w:hAnsi="SohoGothic" w:cs="Helvetica"/>
          <w:color w:val="050F42"/>
          <w:sz w:val="21"/>
          <w:szCs w:val="21"/>
        </w:rPr>
        <w:t xml:space="preserve">, N., </w:t>
      </w:r>
      <w:r w:rsidRPr="00C95E93">
        <w:rPr>
          <w:rFonts w:ascii="SohoGothic" w:hAnsi="SohoGothic" w:cs="Helvetica"/>
          <w:color w:val="050F42"/>
          <w:sz w:val="21"/>
          <w:szCs w:val="21"/>
        </w:rPr>
        <w:t xml:space="preserve">&amp; </w:t>
      </w:r>
      <w:r>
        <w:rPr>
          <w:rFonts w:ascii="SohoGothic" w:hAnsi="SohoGothic" w:cs="Helvetica"/>
          <w:color w:val="050F42"/>
          <w:sz w:val="21"/>
          <w:szCs w:val="21"/>
        </w:rPr>
        <w:t>Assadi</w:t>
      </w:r>
      <w:r w:rsidRPr="00C95E93">
        <w:rPr>
          <w:rFonts w:ascii="SohoGothic" w:hAnsi="SohoGothic" w:cs="Helvetica"/>
          <w:color w:val="050F42"/>
          <w:sz w:val="21"/>
          <w:szCs w:val="21"/>
        </w:rPr>
        <w:t xml:space="preserve">, </w:t>
      </w:r>
      <w:r>
        <w:rPr>
          <w:rFonts w:ascii="SohoGothic" w:hAnsi="SohoGothic" w:cs="Helvetica"/>
          <w:color w:val="050F42"/>
          <w:sz w:val="21"/>
          <w:szCs w:val="21"/>
        </w:rPr>
        <w:t>M</w:t>
      </w:r>
      <w:r w:rsidRPr="00C95E93">
        <w:rPr>
          <w:rFonts w:ascii="SohoGothic" w:hAnsi="SohoGothic" w:cs="Helvetica"/>
          <w:color w:val="050F42"/>
          <w:sz w:val="21"/>
          <w:szCs w:val="21"/>
        </w:rPr>
        <w:t xml:space="preserve">. (2023). </w:t>
      </w:r>
      <w:r w:rsidR="00B51406" w:rsidRPr="00B51406">
        <w:rPr>
          <w:rFonts w:ascii="SohoGothic" w:hAnsi="SohoGothic" w:cs="Helvetica"/>
          <w:color w:val="050F42"/>
          <w:sz w:val="21"/>
          <w:szCs w:val="21"/>
        </w:rPr>
        <w:t>Techno-economic analysis of a biogas-fueled micro gas turbine cogeneration system with seasonal thermal energy storage</w:t>
      </w:r>
      <w:r w:rsidRPr="00C95E93">
        <w:rPr>
          <w:rFonts w:ascii="SohoGothic" w:hAnsi="SohoGothic" w:cs="Helvetica"/>
          <w:color w:val="050F42"/>
          <w:sz w:val="21"/>
          <w:szCs w:val="21"/>
        </w:rPr>
        <w:t>. Energy Conversion and Management, 2</w:t>
      </w:r>
      <w:r w:rsidR="00B51406">
        <w:rPr>
          <w:rFonts w:ascii="SohoGothic" w:hAnsi="SohoGothic" w:cs="Helvetica"/>
          <w:color w:val="050F42"/>
          <w:sz w:val="21"/>
          <w:szCs w:val="21"/>
        </w:rPr>
        <w:t>9</w:t>
      </w:r>
      <w:r w:rsidRPr="00C95E93">
        <w:rPr>
          <w:rFonts w:ascii="SohoGothic" w:hAnsi="SohoGothic" w:cs="Helvetica"/>
          <w:color w:val="050F42"/>
          <w:sz w:val="21"/>
          <w:szCs w:val="21"/>
        </w:rPr>
        <w:t xml:space="preserve">3, </w:t>
      </w:r>
      <w:r w:rsidR="00B51406" w:rsidRPr="00B51406">
        <w:rPr>
          <w:rFonts w:ascii="SohoGothic" w:hAnsi="SohoGothic" w:cs="Helvetica"/>
          <w:color w:val="050F42"/>
          <w:sz w:val="21"/>
          <w:szCs w:val="21"/>
        </w:rPr>
        <w:t>117407</w:t>
      </w:r>
      <w:r w:rsidRPr="00C95E93">
        <w:rPr>
          <w:rFonts w:ascii="SohoGothic" w:hAnsi="SohoGothic" w:cs="Helvetica"/>
          <w:color w:val="050F42"/>
          <w:sz w:val="21"/>
          <w:szCs w:val="21"/>
        </w:rPr>
        <w:t xml:space="preserve">. </w:t>
      </w:r>
      <w:hyperlink r:id="rId32" w:history="1">
        <w:r w:rsidR="00B51406" w:rsidRPr="004D5D23">
          <w:rPr>
            <w:rStyle w:val="Hyperlink"/>
            <w:rFonts w:ascii="SohoGothic" w:hAnsi="SohoGothic" w:cs="Helvetica"/>
            <w:sz w:val="21"/>
            <w:szCs w:val="21"/>
          </w:rPr>
          <w:t>https://doi.org/10.1016/j.enconman.2023.117407</w:t>
        </w:r>
      </w:hyperlink>
    </w:p>
    <w:p w14:paraId="52EA575E" w14:textId="06F1CBAB" w:rsidR="00B51406" w:rsidRDefault="00AB0A08" w:rsidP="00C95E93">
      <w:pPr>
        <w:pStyle w:val="Reference"/>
        <w:tabs>
          <w:tab w:val="clear" w:pos="0"/>
        </w:tabs>
        <w:ind w:left="851" w:hanging="851"/>
        <w:rPr>
          <w:rFonts w:ascii="SohoGothic" w:hAnsi="SohoGothic" w:cs="Helvetica" w:hint="eastAsia"/>
          <w:color w:val="050F42"/>
          <w:sz w:val="21"/>
          <w:szCs w:val="21"/>
        </w:rPr>
      </w:pPr>
      <w:r w:rsidRPr="00AB0A08">
        <w:rPr>
          <w:rFonts w:ascii="SohoGothic" w:hAnsi="SohoGothic" w:cs="Helvetica"/>
          <w:color w:val="050F42"/>
          <w:sz w:val="21"/>
          <w:szCs w:val="21"/>
        </w:rPr>
        <w:t xml:space="preserve">Formhals J, Hemmatabady H, Welsch B, Schulte D, Sass I. A Modelica Toolbox for the Simulation of Borehole Thermal Energy Storage Systems. Energies 2020;13:2327. </w:t>
      </w:r>
      <w:hyperlink r:id="rId33" w:history="1">
        <w:r w:rsidR="00E9647C" w:rsidRPr="004D5D23">
          <w:rPr>
            <w:rStyle w:val="Hyperlink"/>
            <w:rFonts w:ascii="SohoGothic" w:hAnsi="SohoGothic" w:cs="Helvetica"/>
            <w:sz w:val="21"/>
            <w:szCs w:val="21"/>
          </w:rPr>
          <w:t>https://doi.org/10.3390/en13092327</w:t>
        </w:r>
      </w:hyperlink>
      <w:r w:rsidRPr="00AB0A08">
        <w:rPr>
          <w:rFonts w:ascii="SohoGothic" w:hAnsi="SohoGothic" w:cs="Helvetica"/>
          <w:color w:val="050F42"/>
          <w:sz w:val="21"/>
          <w:szCs w:val="21"/>
        </w:rPr>
        <w:t>.</w:t>
      </w:r>
    </w:p>
    <w:p w14:paraId="4CC40B3B" w14:textId="7F86651A" w:rsidR="00F90B3D" w:rsidRDefault="00F90B3D" w:rsidP="00C95E93">
      <w:pPr>
        <w:pStyle w:val="Reference"/>
        <w:tabs>
          <w:tab w:val="clear" w:pos="0"/>
        </w:tabs>
        <w:ind w:left="851" w:hanging="851"/>
        <w:rPr>
          <w:rFonts w:ascii="SohoGothic" w:hAnsi="SohoGothic" w:cs="Helvetica" w:hint="eastAsia"/>
          <w:color w:val="050F42"/>
          <w:sz w:val="21"/>
          <w:szCs w:val="21"/>
        </w:rPr>
      </w:pPr>
      <w:r w:rsidRPr="00F90B3D">
        <w:rPr>
          <w:rFonts w:ascii="SohoGothic" w:hAnsi="SohoGothic" w:cs="Helvetica"/>
          <w:color w:val="050F42"/>
          <w:sz w:val="21"/>
          <w:szCs w:val="21"/>
        </w:rPr>
        <w:t xml:space="preserve">Ruiz Calvo, F., &amp; Montagud, C. (2014). Reference data sets for validating GS HP system models and analyzing performance parameters based on a five year operation period. Geothermics, 51, 417 428. </w:t>
      </w:r>
      <w:hyperlink r:id="rId34" w:history="1">
        <w:r w:rsidRPr="004D5D23">
          <w:rPr>
            <w:rStyle w:val="Hyperlink"/>
            <w:rFonts w:ascii="SohoGothic" w:hAnsi="SohoGothic" w:cs="Helvetica"/>
            <w:sz w:val="21"/>
            <w:szCs w:val="21"/>
          </w:rPr>
          <w:t>https://doi.org/10.1016/j.geothermics.2014.03.010</w:t>
        </w:r>
      </w:hyperlink>
    </w:p>
    <w:p w14:paraId="7A5470D1" w14:textId="6FD29E34" w:rsidR="00F90B3D" w:rsidRDefault="00900E4C" w:rsidP="00C95E93">
      <w:pPr>
        <w:pStyle w:val="Reference"/>
        <w:tabs>
          <w:tab w:val="clear" w:pos="0"/>
        </w:tabs>
        <w:ind w:left="851" w:hanging="851"/>
        <w:rPr>
          <w:rFonts w:ascii="SohoGothic" w:hAnsi="SohoGothic" w:cs="Helvetica" w:hint="eastAsia"/>
          <w:color w:val="050F42"/>
          <w:sz w:val="21"/>
          <w:szCs w:val="21"/>
        </w:rPr>
      </w:pPr>
      <w:r w:rsidRPr="00900E4C">
        <w:rPr>
          <w:rFonts w:ascii="SohoGothic" w:hAnsi="SohoGothic" w:cs="Helvetica"/>
          <w:color w:val="050F42"/>
          <w:sz w:val="21"/>
          <w:szCs w:val="21"/>
        </w:rPr>
        <w:t xml:space="preserve">Batzelis, E., &amp; Papathanassiou, S. A. (2016). A method for the analytical extraction of the Single-Diode PV model parameters. IEEE Transactions on Sustainable Energy, 7(2), 504–512. </w:t>
      </w:r>
      <w:hyperlink r:id="rId35" w:history="1">
        <w:r w:rsidRPr="004D5D23">
          <w:rPr>
            <w:rStyle w:val="Hyperlink"/>
            <w:rFonts w:ascii="SohoGothic" w:hAnsi="SohoGothic" w:cs="Helvetica"/>
            <w:sz w:val="21"/>
            <w:szCs w:val="21"/>
          </w:rPr>
          <w:t>https://doi.org/10.1109/tste.2015.2503435</w:t>
        </w:r>
      </w:hyperlink>
    </w:p>
    <w:p w14:paraId="15AC644B" w14:textId="77777777" w:rsidR="00900E4C" w:rsidRDefault="00900E4C" w:rsidP="00900E4C">
      <w:pPr>
        <w:pStyle w:val="Reference"/>
        <w:numPr>
          <w:ilvl w:val="0"/>
          <w:numId w:val="0"/>
        </w:numPr>
        <w:rPr>
          <w:rFonts w:ascii="SohoGothic" w:hAnsi="SohoGothic" w:cs="Helvetica" w:hint="eastAsia"/>
          <w:color w:val="050F42"/>
          <w:sz w:val="21"/>
          <w:szCs w:val="21"/>
        </w:rPr>
      </w:pPr>
    </w:p>
    <w:sectPr w:rsidR="00900E4C">
      <w:headerReference w:type="even" r:id="rId36"/>
      <w:headerReference w:type="default" r:id="rId3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46054" w14:textId="77777777" w:rsidR="00B06E32" w:rsidRDefault="00B06E32">
      <w:r>
        <w:separator/>
      </w:r>
    </w:p>
  </w:endnote>
  <w:endnote w:type="continuationSeparator" w:id="0">
    <w:p w14:paraId="03F2415F" w14:textId="77777777" w:rsidR="00B06E32" w:rsidRDefault="00B0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hoGothic">
    <w:altName w:val="Times New Roman"/>
    <w:charset w:val="00"/>
    <w:family w:val="auto"/>
    <w:pitch w:val="default"/>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E13DA" w14:textId="77777777" w:rsidR="00B06E32" w:rsidRPr="00043761" w:rsidRDefault="00B06E32">
      <w:pPr>
        <w:pStyle w:val="Bulleted"/>
        <w:numPr>
          <w:ilvl w:val="0"/>
          <w:numId w:val="0"/>
        </w:numPr>
        <w:rPr>
          <w:rFonts w:ascii="Sabon" w:hAnsi="Sabon"/>
          <w:color w:val="auto"/>
          <w:szCs w:val="20"/>
        </w:rPr>
      </w:pPr>
      <w:r>
        <w:separator/>
      </w:r>
    </w:p>
  </w:footnote>
  <w:footnote w:type="continuationSeparator" w:id="0">
    <w:p w14:paraId="5914E66C" w14:textId="77777777" w:rsidR="00B06E32" w:rsidRDefault="00B06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1714" w14:textId="77777777" w:rsidR="009A0487" w:rsidRDefault="009A04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D638E3A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5410AA"/>
    <w:multiLevelType w:val="hybridMultilevel"/>
    <w:tmpl w:val="E0D88306"/>
    <w:lvl w:ilvl="0" w:tplc="0390EADE">
      <w:start w:val="1"/>
      <w:numFmt w:val="bullet"/>
      <w:lvlText w:val=""/>
      <w:lvlJc w:val="left"/>
      <w:pPr>
        <w:ind w:left="780" w:hanging="420"/>
      </w:pPr>
      <w:rPr>
        <w:rFonts w:ascii="Wingdings" w:hAnsi="Wingdings" w:hint="default"/>
        <w:sz w:val="15"/>
        <w:szCs w:val="15"/>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70315E37"/>
    <w:multiLevelType w:val="hybridMultilevel"/>
    <w:tmpl w:val="441069D0"/>
    <w:lvl w:ilvl="0" w:tplc="516AC37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6"/>
  </w:num>
  <w:num w:numId="2" w16cid:durableId="468517655">
    <w:abstractNumId w:val="1"/>
  </w:num>
  <w:num w:numId="3" w16cid:durableId="1791896973">
    <w:abstractNumId w:val="0"/>
  </w:num>
  <w:num w:numId="4" w16cid:durableId="1307079316">
    <w:abstractNumId w:val="3"/>
  </w:num>
  <w:num w:numId="5" w16cid:durableId="811678184">
    <w:abstractNumId w:val="1"/>
  </w:num>
  <w:num w:numId="6" w16cid:durableId="16322489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3"/>
  </w:num>
  <w:num w:numId="16" w16cid:durableId="844637201">
    <w:abstractNumId w:val="3"/>
  </w:num>
  <w:num w:numId="17" w16cid:durableId="1440561850">
    <w:abstractNumId w:val="4"/>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1619336774">
    <w:abstractNumId w:val="2"/>
  </w:num>
  <w:num w:numId="26" w16cid:durableId="52451374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NLAwMjU1MDEyNLZU0lEKTi0uzszPAykwrAUA7xkdlywAAAA="/>
  </w:docVars>
  <w:rsids>
    <w:rsidRoot w:val="00EF6BE4"/>
    <w:rsid w:val="00006EA6"/>
    <w:rsid w:val="00065B6F"/>
    <w:rsid w:val="000846D8"/>
    <w:rsid w:val="000850CB"/>
    <w:rsid w:val="00097C6C"/>
    <w:rsid w:val="000A1914"/>
    <w:rsid w:val="000A5D3A"/>
    <w:rsid w:val="000A7B1A"/>
    <w:rsid w:val="000D12CA"/>
    <w:rsid w:val="000F434B"/>
    <w:rsid w:val="00125017"/>
    <w:rsid w:val="00131035"/>
    <w:rsid w:val="00146437"/>
    <w:rsid w:val="00194C96"/>
    <w:rsid w:val="00195993"/>
    <w:rsid w:val="00217A99"/>
    <w:rsid w:val="00232C4F"/>
    <w:rsid w:val="00235FDF"/>
    <w:rsid w:val="00240E04"/>
    <w:rsid w:val="002543AC"/>
    <w:rsid w:val="00274766"/>
    <w:rsid w:val="00290650"/>
    <w:rsid w:val="002B44BC"/>
    <w:rsid w:val="002D6B04"/>
    <w:rsid w:val="003A4259"/>
    <w:rsid w:val="00417D9B"/>
    <w:rsid w:val="00470A9D"/>
    <w:rsid w:val="004812A7"/>
    <w:rsid w:val="004A76A6"/>
    <w:rsid w:val="004D30AB"/>
    <w:rsid w:val="004E1E61"/>
    <w:rsid w:val="00500048"/>
    <w:rsid w:val="00513EE3"/>
    <w:rsid w:val="005158FA"/>
    <w:rsid w:val="00534339"/>
    <w:rsid w:val="00536F49"/>
    <w:rsid w:val="00552ADD"/>
    <w:rsid w:val="00574960"/>
    <w:rsid w:val="00604985"/>
    <w:rsid w:val="006229A5"/>
    <w:rsid w:val="00625C49"/>
    <w:rsid w:val="00637AC2"/>
    <w:rsid w:val="006704C9"/>
    <w:rsid w:val="00675807"/>
    <w:rsid w:val="00693853"/>
    <w:rsid w:val="006D3CE2"/>
    <w:rsid w:val="006F45A4"/>
    <w:rsid w:val="00712D5F"/>
    <w:rsid w:val="00733CB3"/>
    <w:rsid w:val="00750828"/>
    <w:rsid w:val="00775B7D"/>
    <w:rsid w:val="00782179"/>
    <w:rsid w:val="007C79AC"/>
    <w:rsid w:val="007D5B01"/>
    <w:rsid w:val="008163F3"/>
    <w:rsid w:val="00824535"/>
    <w:rsid w:val="00835BFC"/>
    <w:rsid w:val="0087371C"/>
    <w:rsid w:val="00896887"/>
    <w:rsid w:val="008A3675"/>
    <w:rsid w:val="008C3387"/>
    <w:rsid w:val="008D0AAD"/>
    <w:rsid w:val="00900E4C"/>
    <w:rsid w:val="00915486"/>
    <w:rsid w:val="0092187C"/>
    <w:rsid w:val="00923F95"/>
    <w:rsid w:val="00944BC4"/>
    <w:rsid w:val="009775DA"/>
    <w:rsid w:val="009A0487"/>
    <w:rsid w:val="009C1DD7"/>
    <w:rsid w:val="009D0AC3"/>
    <w:rsid w:val="00A14CC9"/>
    <w:rsid w:val="00A262AF"/>
    <w:rsid w:val="00A410EF"/>
    <w:rsid w:val="00A44EE3"/>
    <w:rsid w:val="00A57FD6"/>
    <w:rsid w:val="00A82FE3"/>
    <w:rsid w:val="00AB0A08"/>
    <w:rsid w:val="00AB49BB"/>
    <w:rsid w:val="00B05982"/>
    <w:rsid w:val="00B06E32"/>
    <w:rsid w:val="00B221C4"/>
    <w:rsid w:val="00B226E7"/>
    <w:rsid w:val="00B51406"/>
    <w:rsid w:val="00B72139"/>
    <w:rsid w:val="00B83F45"/>
    <w:rsid w:val="00B90CE9"/>
    <w:rsid w:val="00BC1B3E"/>
    <w:rsid w:val="00BC2B17"/>
    <w:rsid w:val="00BD26D4"/>
    <w:rsid w:val="00BD7D14"/>
    <w:rsid w:val="00BF46F5"/>
    <w:rsid w:val="00C05864"/>
    <w:rsid w:val="00C07E62"/>
    <w:rsid w:val="00C103DB"/>
    <w:rsid w:val="00C138FD"/>
    <w:rsid w:val="00C2262A"/>
    <w:rsid w:val="00C34B30"/>
    <w:rsid w:val="00C74962"/>
    <w:rsid w:val="00C95E93"/>
    <w:rsid w:val="00CB0677"/>
    <w:rsid w:val="00CD1D74"/>
    <w:rsid w:val="00CE095F"/>
    <w:rsid w:val="00CF3AF5"/>
    <w:rsid w:val="00D1078F"/>
    <w:rsid w:val="00D15C8A"/>
    <w:rsid w:val="00D46E24"/>
    <w:rsid w:val="00D46ED8"/>
    <w:rsid w:val="00D60255"/>
    <w:rsid w:val="00D80434"/>
    <w:rsid w:val="00DA6206"/>
    <w:rsid w:val="00DD690D"/>
    <w:rsid w:val="00E07535"/>
    <w:rsid w:val="00E41D69"/>
    <w:rsid w:val="00E57760"/>
    <w:rsid w:val="00E63ADF"/>
    <w:rsid w:val="00E818CF"/>
    <w:rsid w:val="00E9647C"/>
    <w:rsid w:val="00EE38C2"/>
    <w:rsid w:val="00EF4CBA"/>
    <w:rsid w:val="00EF6BE4"/>
    <w:rsid w:val="00F51B7C"/>
    <w:rsid w:val="00F66A92"/>
    <w:rsid w:val="00F82A0D"/>
    <w:rsid w:val="00F90B3D"/>
    <w:rsid w:val="00FB5D68"/>
    <w:rsid w:val="00FD05B0"/>
    <w:rsid w:val="00FE13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table" w:styleId="ListTable4">
    <w:name w:val="List Table 4"/>
    <w:basedOn w:val="TableNormal"/>
    <w:uiPriority w:val="49"/>
    <w:rsid w:val="00CD1D74"/>
    <w:rPr>
      <w:rFonts w:asciiTheme="minorHAnsi" w:eastAsiaTheme="minorEastAsia" w:hAnsiTheme="minorHAnsi" w:cstheme="minorBidi"/>
      <w:kern w:val="2"/>
      <w:sz w:val="21"/>
      <w:szCs w:val="22"/>
      <w:lang w:val="en-US"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0A5D3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BF46F5"/>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14CC9"/>
    <w:rPr>
      <w:color w:val="605E5C"/>
      <w:shd w:val="clear" w:color="auto" w:fill="E1DFDD"/>
    </w:rPr>
  </w:style>
  <w:style w:type="character" w:styleId="PlaceholderText">
    <w:name w:val="Placeholder Text"/>
    <w:basedOn w:val="DefaultParagraphFont"/>
    <w:uiPriority w:val="99"/>
    <w:semiHidden/>
    <w:rsid w:val="00E818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9.png"/><Relationship Id="rId26" Type="http://schemas.openxmlformats.org/officeDocument/2006/relationships/hyperlink" Target="https://doi.org/10.1016/j.renene.2022.08.107" TargetMode="External"/><Relationship Id="rId39" Type="http://schemas.openxmlformats.org/officeDocument/2006/relationships/theme" Target="theme/theme1.xml"/><Relationship Id="rId21" Type="http://schemas.openxmlformats.org/officeDocument/2006/relationships/image" Target="media/image12.svg"/><Relationship Id="rId34" Type="http://schemas.openxmlformats.org/officeDocument/2006/relationships/hyperlink" Target="https://doi.org/10.1016/j.geothermics.2014.03.01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svg"/><Relationship Id="rId25" Type="http://schemas.openxmlformats.org/officeDocument/2006/relationships/hyperlink" Target="https://doi.org/10.1016/j.energy.2020.119141" TargetMode="External"/><Relationship Id="rId33" Type="http://schemas.openxmlformats.org/officeDocument/2006/relationships/hyperlink" Target="https://doi.org/10.3390/en1309232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080/19401493.2018.14283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ijepes.2013.06.028" TargetMode="External"/><Relationship Id="rId32" Type="http://schemas.openxmlformats.org/officeDocument/2006/relationships/hyperlink" Target="https://doi.org/10.1016/j.enconman.2023.117407"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4.svg"/><Relationship Id="rId28" Type="http://schemas.openxmlformats.org/officeDocument/2006/relationships/hyperlink" Target="https://doi.org/10.1016/j.energy.2018.03.113" TargetMode="External"/><Relationship Id="rId36" Type="http://schemas.openxmlformats.org/officeDocument/2006/relationships/header" Target="header1.xml"/><Relationship Id="rId10" Type="http://schemas.openxmlformats.org/officeDocument/2006/relationships/image" Target="media/image3.svg"/><Relationship Id="rId19" Type="http://schemas.openxmlformats.org/officeDocument/2006/relationships/image" Target="media/image10.svg"/><Relationship Id="rId31" Type="http://schemas.openxmlformats.org/officeDocument/2006/relationships/hyperlink" Target="https://doi.org/10.1002/bapi.2013100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png"/><Relationship Id="rId27" Type="http://schemas.openxmlformats.org/officeDocument/2006/relationships/hyperlink" Target="https://doi.org/10.1016/j.enbuild.2020.109963" TargetMode="External"/><Relationship Id="rId30" Type="http://schemas.openxmlformats.org/officeDocument/2006/relationships/hyperlink" Target="https://doi.org/10.1080/19401493.2013.765506" TargetMode="External"/><Relationship Id="rId35" Type="http://schemas.openxmlformats.org/officeDocument/2006/relationships/hyperlink" Target="https://doi.org/10.1109/tste.2015.2503435"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My%20Drive\7.1Work_UiS\8.HeatPump\Modeling_WaterFurnace_130kW.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My%20Drive\7.1Work_UiS\8.HeatPump\Modeling_WaterFurnace_130kW.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69118991705"/>
          <c:y val="4.6218487394957986E-2"/>
          <c:w val="0.80491517507679966"/>
          <c:h val="0.83105769867001922"/>
        </c:manualLayout>
      </c:layout>
      <c:scatterChart>
        <c:scatterStyle val="smoothMarker"/>
        <c:varyColors val="0"/>
        <c:ser>
          <c:idx val="0"/>
          <c:order val="0"/>
          <c:tx>
            <c:v>准确</c:v>
          </c:tx>
          <c:spPr>
            <a:ln w="19050" cap="rnd">
              <a:solidFill>
                <a:schemeClr val="tx1"/>
              </a:solidFill>
              <a:round/>
            </a:ln>
            <a:effectLst/>
          </c:spPr>
          <c:marker>
            <c:symbol val="none"/>
          </c:marker>
          <c:xVal>
            <c:numRef>
              <c:f>Error_HeatCapacity!$B$3:$B$117</c:f>
              <c:numCache>
                <c:formatCode>General</c:formatCode>
                <c:ptCount val="115"/>
                <c:pt idx="0">
                  <c:v>50</c:v>
                </c:pt>
                <c:pt idx="1">
                  <c:v>109.7</c:v>
                </c:pt>
                <c:pt idx="2">
                  <c:v>110</c:v>
                </c:pt>
                <c:pt idx="3">
                  <c:v>110.2</c:v>
                </c:pt>
                <c:pt idx="4">
                  <c:v>111.4</c:v>
                </c:pt>
                <c:pt idx="5">
                  <c:v>111.8</c:v>
                </c:pt>
                <c:pt idx="6">
                  <c:v>112</c:v>
                </c:pt>
                <c:pt idx="7">
                  <c:v>114</c:v>
                </c:pt>
                <c:pt idx="8">
                  <c:v>114.4</c:v>
                </c:pt>
                <c:pt idx="9">
                  <c:v>114.6</c:v>
                </c:pt>
                <c:pt idx="10">
                  <c:v>116.3</c:v>
                </c:pt>
                <c:pt idx="11">
                  <c:v>116.6</c:v>
                </c:pt>
                <c:pt idx="12">
                  <c:v>116.9</c:v>
                </c:pt>
                <c:pt idx="13">
                  <c:v>120.6</c:v>
                </c:pt>
                <c:pt idx="14">
                  <c:v>120.9</c:v>
                </c:pt>
                <c:pt idx="15">
                  <c:v>121.2</c:v>
                </c:pt>
                <c:pt idx="16">
                  <c:v>123.5</c:v>
                </c:pt>
                <c:pt idx="17">
                  <c:v>123.9</c:v>
                </c:pt>
                <c:pt idx="18">
                  <c:v>124.1</c:v>
                </c:pt>
                <c:pt idx="19">
                  <c:v>124.9</c:v>
                </c:pt>
                <c:pt idx="20">
                  <c:v>125.3</c:v>
                </c:pt>
                <c:pt idx="21">
                  <c:v>125.6</c:v>
                </c:pt>
                <c:pt idx="22">
                  <c:v>128.4</c:v>
                </c:pt>
                <c:pt idx="23">
                  <c:v>128.80000000000001</c:v>
                </c:pt>
                <c:pt idx="24">
                  <c:v>129</c:v>
                </c:pt>
                <c:pt idx="25">
                  <c:v>136.69999999999999</c:v>
                </c:pt>
                <c:pt idx="26">
                  <c:v>137.1</c:v>
                </c:pt>
                <c:pt idx="27">
                  <c:v>137.30000000000001</c:v>
                </c:pt>
                <c:pt idx="28">
                  <c:v>140.4</c:v>
                </c:pt>
                <c:pt idx="29">
                  <c:v>140.80000000000001</c:v>
                </c:pt>
                <c:pt idx="30">
                  <c:v>140.9</c:v>
                </c:pt>
                <c:pt idx="31">
                  <c:v>141.1</c:v>
                </c:pt>
                <c:pt idx="32">
                  <c:v>141.30000000000001</c:v>
                </c:pt>
                <c:pt idx="33">
                  <c:v>141.6</c:v>
                </c:pt>
                <c:pt idx="34">
                  <c:v>142.6</c:v>
                </c:pt>
                <c:pt idx="35">
                  <c:v>143.1</c:v>
                </c:pt>
                <c:pt idx="36">
                  <c:v>143.4</c:v>
                </c:pt>
                <c:pt idx="37">
                  <c:v>145.6</c:v>
                </c:pt>
                <c:pt idx="38">
                  <c:v>146.1</c:v>
                </c:pt>
                <c:pt idx="39">
                  <c:v>146.30000000000001</c:v>
                </c:pt>
                <c:pt idx="40">
                  <c:v>147.19999999999999</c:v>
                </c:pt>
                <c:pt idx="41">
                  <c:v>147.6</c:v>
                </c:pt>
                <c:pt idx="42">
                  <c:v>147.9</c:v>
                </c:pt>
                <c:pt idx="43">
                  <c:v>148.5</c:v>
                </c:pt>
                <c:pt idx="44">
                  <c:v>148.9</c:v>
                </c:pt>
                <c:pt idx="45">
                  <c:v>149.19999999999999</c:v>
                </c:pt>
                <c:pt idx="46">
                  <c:v>151.4</c:v>
                </c:pt>
                <c:pt idx="47">
                  <c:v>151.9</c:v>
                </c:pt>
                <c:pt idx="48">
                  <c:v>152.1</c:v>
                </c:pt>
                <c:pt idx="49">
                  <c:v>153.4</c:v>
                </c:pt>
                <c:pt idx="50">
                  <c:v>153.9</c:v>
                </c:pt>
                <c:pt idx="51">
                  <c:v>154.19999999999999</c:v>
                </c:pt>
                <c:pt idx="52">
                  <c:v>157.19999999999999</c:v>
                </c:pt>
                <c:pt idx="53">
                  <c:v>157.69999999999999</c:v>
                </c:pt>
                <c:pt idx="54">
                  <c:v>158</c:v>
                </c:pt>
                <c:pt idx="55">
                  <c:v>158.69999999999999</c:v>
                </c:pt>
                <c:pt idx="56">
                  <c:v>159.19999999999999</c:v>
                </c:pt>
                <c:pt idx="57">
                  <c:v>159.4</c:v>
                </c:pt>
                <c:pt idx="58">
                  <c:v>163</c:v>
                </c:pt>
                <c:pt idx="59">
                  <c:v>163.5</c:v>
                </c:pt>
                <c:pt idx="60">
                  <c:v>163.80000000000001</c:v>
                </c:pt>
                <c:pt idx="61">
                  <c:v>166.4</c:v>
                </c:pt>
                <c:pt idx="62">
                  <c:v>166.9</c:v>
                </c:pt>
                <c:pt idx="63">
                  <c:v>167.2</c:v>
                </c:pt>
                <c:pt idx="64">
                  <c:v>170.7</c:v>
                </c:pt>
                <c:pt idx="65">
                  <c:v>171.2</c:v>
                </c:pt>
                <c:pt idx="66">
                  <c:v>171.3</c:v>
                </c:pt>
                <c:pt idx="67">
                  <c:v>171.6</c:v>
                </c:pt>
                <c:pt idx="68">
                  <c:v>171.8</c:v>
                </c:pt>
                <c:pt idx="69">
                  <c:v>172.1</c:v>
                </c:pt>
                <c:pt idx="70">
                  <c:v>173.3</c:v>
                </c:pt>
                <c:pt idx="71">
                  <c:v>173.9</c:v>
                </c:pt>
                <c:pt idx="72">
                  <c:v>174.2</c:v>
                </c:pt>
                <c:pt idx="73">
                  <c:v>176.8</c:v>
                </c:pt>
                <c:pt idx="74">
                  <c:v>177.4</c:v>
                </c:pt>
                <c:pt idx="75">
                  <c:v>177.7</c:v>
                </c:pt>
                <c:pt idx="76">
                  <c:v>178.6</c:v>
                </c:pt>
                <c:pt idx="77">
                  <c:v>179.1</c:v>
                </c:pt>
                <c:pt idx="78">
                  <c:v>179.5</c:v>
                </c:pt>
                <c:pt idx="79">
                  <c:v>180.1</c:v>
                </c:pt>
                <c:pt idx="80">
                  <c:v>180.7</c:v>
                </c:pt>
                <c:pt idx="81">
                  <c:v>181.1</c:v>
                </c:pt>
                <c:pt idx="82">
                  <c:v>183.4</c:v>
                </c:pt>
                <c:pt idx="83">
                  <c:v>184</c:v>
                </c:pt>
                <c:pt idx="84">
                  <c:v>184.4</c:v>
                </c:pt>
                <c:pt idx="85">
                  <c:v>186</c:v>
                </c:pt>
                <c:pt idx="86">
                  <c:v>186.5</c:v>
                </c:pt>
                <c:pt idx="87">
                  <c:v>186.9</c:v>
                </c:pt>
                <c:pt idx="88">
                  <c:v>190.4</c:v>
                </c:pt>
                <c:pt idx="89">
                  <c:v>191</c:v>
                </c:pt>
                <c:pt idx="90">
                  <c:v>191.4</c:v>
                </c:pt>
                <c:pt idx="91">
                  <c:v>192.1</c:v>
                </c:pt>
                <c:pt idx="92">
                  <c:v>192.7</c:v>
                </c:pt>
                <c:pt idx="93">
                  <c:v>193</c:v>
                </c:pt>
                <c:pt idx="94">
                  <c:v>197.2</c:v>
                </c:pt>
                <c:pt idx="95">
                  <c:v>197.6</c:v>
                </c:pt>
                <c:pt idx="96">
                  <c:v>197.9</c:v>
                </c:pt>
                <c:pt idx="97">
                  <c:v>198.2</c:v>
                </c:pt>
                <c:pt idx="98">
                  <c:v>198.2</c:v>
                </c:pt>
                <c:pt idx="99">
                  <c:v>198.6</c:v>
                </c:pt>
                <c:pt idx="100">
                  <c:v>201.8</c:v>
                </c:pt>
                <c:pt idx="101">
                  <c:v>202.4</c:v>
                </c:pt>
                <c:pt idx="102">
                  <c:v>202.8</c:v>
                </c:pt>
                <c:pt idx="103">
                  <c:v>205.8</c:v>
                </c:pt>
                <c:pt idx="104">
                  <c:v>206.4</c:v>
                </c:pt>
                <c:pt idx="105">
                  <c:v>206.8</c:v>
                </c:pt>
                <c:pt idx="106">
                  <c:v>210.7</c:v>
                </c:pt>
                <c:pt idx="107">
                  <c:v>211.3</c:v>
                </c:pt>
                <c:pt idx="108">
                  <c:v>211.3</c:v>
                </c:pt>
                <c:pt idx="109">
                  <c:v>211.7</c:v>
                </c:pt>
                <c:pt idx="110">
                  <c:v>211.9</c:v>
                </c:pt>
                <c:pt idx="111">
                  <c:v>212.3</c:v>
                </c:pt>
                <c:pt idx="112">
                  <c:v>217</c:v>
                </c:pt>
                <c:pt idx="113">
                  <c:v>217.6</c:v>
                </c:pt>
                <c:pt idx="114">
                  <c:v>218.1</c:v>
                </c:pt>
              </c:numCache>
            </c:numRef>
          </c:xVal>
          <c:yVal>
            <c:numRef>
              <c:f>Error_HeatCapacity!$C$3:$C$117</c:f>
              <c:numCache>
                <c:formatCode>General</c:formatCode>
                <c:ptCount val="115"/>
                <c:pt idx="0">
                  <c:v>50</c:v>
                </c:pt>
                <c:pt idx="1">
                  <c:v>109.7</c:v>
                </c:pt>
                <c:pt idx="2">
                  <c:v>110</c:v>
                </c:pt>
                <c:pt idx="3">
                  <c:v>110.2</c:v>
                </c:pt>
                <c:pt idx="4">
                  <c:v>111.4</c:v>
                </c:pt>
                <c:pt idx="5">
                  <c:v>111.8</c:v>
                </c:pt>
                <c:pt idx="6">
                  <c:v>112</c:v>
                </c:pt>
                <c:pt idx="7">
                  <c:v>114</c:v>
                </c:pt>
                <c:pt idx="8">
                  <c:v>114.4</c:v>
                </c:pt>
                <c:pt idx="9">
                  <c:v>114.6</c:v>
                </c:pt>
                <c:pt idx="10">
                  <c:v>116.3</c:v>
                </c:pt>
                <c:pt idx="11">
                  <c:v>116.6</c:v>
                </c:pt>
                <c:pt idx="12">
                  <c:v>116.9</c:v>
                </c:pt>
                <c:pt idx="13">
                  <c:v>120.6</c:v>
                </c:pt>
                <c:pt idx="14">
                  <c:v>120.9</c:v>
                </c:pt>
                <c:pt idx="15">
                  <c:v>121.2</c:v>
                </c:pt>
                <c:pt idx="16">
                  <c:v>123.5</c:v>
                </c:pt>
                <c:pt idx="17">
                  <c:v>123.9</c:v>
                </c:pt>
                <c:pt idx="18">
                  <c:v>124.1</c:v>
                </c:pt>
                <c:pt idx="19">
                  <c:v>124.9</c:v>
                </c:pt>
                <c:pt idx="20">
                  <c:v>125.3</c:v>
                </c:pt>
                <c:pt idx="21">
                  <c:v>125.6</c:v>
                </c:pt>
                <c:pt idx="22">
                  <c:v>128.4</c:v>
                </c:pt>
                <c:pt idx="23">
                  <c:v>128.80000000000001</c:v>
                </c:pt>
                <c:pt idx="24">
                  <c:v>129</c:v>
                </c:pt>
                <c:pt idx="25">
                  <c:v>136.69999999999999</c:v>
                </c:pt>
                <c:pt idx="26">
                  <c:v>137.1</c:v>
                </c:pt>
                <c:pt idx="27">
                  <c:v>137.30000000000001</c:v>
                </c:pt>
                <c:pt idx="28">
                  <c:v>140.4</c:v>
                </c:pt>
                <c:pt idx="29">
                  <c:v>140.80000000000001</c:v>
                </c:pt>
                <c:pt idx="30">
                  <c:v>140.9</c:v>
                </c:pt>
                <c:pt idx="31">
                  <c:v>141.1</c:v>
                </c:pt>
                <c:pt idx="32">
                  <c:v>141.30000000000001</c:v>
                </c:pt>
                <c:pt idx="33">
                  <c:v>141.6</c:v>
                </c:pt>
                <c:pt idx="34">
                  <c:v>142.6</c:v>
                </c:pt>
                <c:pt idx="35">
                  <c:v>143.1</c:v>
                </c:pt>
                <c:pt idx="36">
                  <c:v>143.4</c:v>
                </c:pt>
                <c:pt idx="37">
                  <c:v>145.6</c:v>
                </c:pt>
                <c:pt idx="38">
                  <c:v>146.1</c:v>
                </c:pt>
                <c:pt idx="39">
                  <c:v>146.30000000000001</c:v>
                </c:pt>
                <c:pt idx="40">
                  <c:v>147.19999999999999</c:v>
                </c:pt>
                <c:pt idx="41">
                  <c:v>147.6</c:v>
                </c:pt>
                <c:pt idx="42">
                  <c:v>147.9</c:v>
                </c:pt>
                <c:pt idx="43">
                  <c:v>148.5</c:v>
                </c:pt>
                <c:pt idx="44">
                  <c:v>148.9</c:v>
                </c:pt>
                <c:pt idx="45">
                  <c:v>149.19999999999999</c:v>
                </c:pt>
                <c:pt idx="46">
                  <c:v>151.4</c:v>
                </c:pt>
                <c:pt idx="47">
                  <c:v>151.9</c:v>
                </c:pt>
                <c:pt idx="48">
                  <c:v>152.1</c:v>
                </c:pt>
                <c:pt idx="49">
                  <c:v>153.4</c:v>
                </c:pt>
                <c:pt idx="50">
                  <c:v>153.9</c:v>
                </c:pt>
                <c:pt idx="51">
                  <c:v>154.19999999999999</c:v>
                </c:pt>
                <c:pt idx="52">
                  <c:v>157.19999999999999</c:v>
                </c:pt>
                <c:pt idx="53">
                  <c:v>157.69999999999999</c:v>
                </c:pt>
                <c:pt idx="54">
                  <c:v>158</c:v>
                </c:pt>
                <c:pt idx="55">
                  <c:v>158.69999999999999</c:v>
                </c:pt>
                <c:pt idx="56">
                  <c:v>159.19999999999999</c:v>
                </c:pt>
                <c:pt idx="57">
                  <c:v>159.4</c:v>
                </c:pt>
                <c:pt idx="58">
                  <c:v>163</c:v>
                </c:pt>
                <c:pt idx="59">
                  <c:v>163.5</c:v>
                </c:pt>
                <c:pt idx="60">
                  <c:v>163.80000000000001</c:v>
                </c:pt>
                <c:pt idx="61">
                  <c:v>166.4</c:v>
                </c:pt>
                <c:pt idx="62">
                  <c:v>166.9</c:v>
                </c:pt>
                <c:pt idx="63">
                  <c:v>167.2</c:v>
                </c:pt>
                <c:pt idx="64">
                  <c:v>170.7</c:v>
                </c:pt>
                <c:pt idx="65">
                  <c:v>171.2</c:v>
                </c:pt>
                <c:pt idx="66">
                  <c:v>171.3</c:v>
                </c:pt>
                <c:pt idx="67">
                  <c:v>171.6</c:v>
                </c:pt>
                <c:pt idx="68">
                  <c:v>171.8</c:v>
                </c:pt>
                <c:pt idx="69">
                  <c:v>172.1</c:v>
                </c:pt>
                <c:pt idx="70">
                  <c:v>173.3</c:v>
                </c:pt>
                <c:pt idx="71">
                  <c:v>173.9</c:v>
                </c:pt>
                <c:pt idx="72">
                  <c:v>174.2</c:v>
                </c:pt>
                <c:pt idx="73">
                  <c:v>176.8</c:v>
                </c:pt>
                <c:pt idx="74">
                  <c:v>177.4</c:v>
                </c:pt>
                <c:pt idx="75">
                  <c:v>177.7</c:v>
                </c:pt>
                <c:pt idx="76">
                  <c:v>178.6</c:v>
                </c:pt>
                <c:pt idx="77">
                  <c:v>179.1</c:v>
                </c:pt>
                <c:pt idx="78">
                  <c:v>179.5</c:v>
                </c:pt>
                <c:pt idx="79">
                  <c:v>180.1</c:v>
                </c:pt>
                <c:pt idx="80">
                  <c:v>180.7</c:v>
                </c:pt>
                <c:pt idx="81">
                  <c:v>181.1</c:v>
                </c:pt>
                <c:pt idx="82">
                  <c:v>183.4</c:v>
                </c:pt>
                <c:pt idx="83">
                  <c:v>184</c:v>
                </c:pt>
                <c:pt idx="84">
                  <c:v>184.4</c:v>
                </c:pt>
                <c:pt idx="85">
                  <c:v>186</c:v>
                </c:pt>
                <c:pt idx="86">
                  <c:v>186.5</c:v>
                </c:pt>
                <c:pt idx="87">
                  <c:v>186.9</c:v>
                </c:pt>
                <c:pt idx="88">
                  <c:v>190.4</c:v>
                </c:pt>
                <c:pt idx="89">
                  <c:v>191</c:v>
                </c:pt>
                <c:pt idx="90">
                  <c:v>191.4</c:v>
                </c:pt>
                <c:pt idx="91">
                  <c:v>192.1</c:v>
                </c:pt>
                <c:pt idx="92">
                  <c:v>192.7</c:v>
                </c:pt>
                <c:pt idx="93">
                  <c:v>193</c:v>
                </c:pt>
                <c:pt idx="94">
                  <c:v>197.2</c:v>
                </c:pt>
                <c:pt idx="95">
                  <c:v>197.6</c:v>
                </c:pt>
                <c:pt idx="96">
                  <c:v>197.9</c:v>
                </c:pt>
                <c:pt idx="97">
                  <c:v>198.2</c:v>
                </c:pt>
                <c:pt idx="98">
                  <c:v>198.2</c:v>
                </c:pt>
                <c:pt idx="99">
                  <c:v>198.6</c:v>
                </c:pt>
                <c:pt idx="100">
                  <c:v>201.8</c:v>
                </c:pt>
                <c:pt idx="101">
                  <c:v>202.4</c:v>
                </c:pt>
                <c:pt idx="102">
                  <c:v>202.8</c:v>
                </c:pt>
                <c:pt idx="103">
                  <c:v>205.8</c:v>
                </c:pt>
                <c:pt idx="104">
                  <c:v>206.4</c:v>
                </c:pt>
                <c:pt idx="105">
                  <c:v>206.8</c:v>
                </c:pt>
                <c:pt idx="106">
                  <c:v>210.7</c:v>
                </c:pt>
                <c:pt idx="107">
                  <c:v>211.3</c:v>
                </c:pt>
                <c:pt idx="108">
                  <c:v>211.3</c:v>
                </c:pt>
                <c:pt idx="109">
                  <c:v>211.7</c:v>
                </c:pt>
                <c:pt idx="110">
                  <c:v>211.9</c:v>
                </c:pt>
                <c:pt idx="111">
                  <c:v>212.3</c:v>
                </c:pt>
                <c:pt idx="112">
                  <c:v>217</c:v>
                </c:pt>
                <c:pt idx="113">
                  <c:v>217.6</c:v>
                </c:pt>
                <c:pt idx="114">
                  <c:v>218.1</c:v>
                </c:pt>
              </c:numCache>
            </c:numRef>
          </c:yVal>
          <c:smooth val="1"/>
          <c:extLst>
            <c:ext xmlns:c16="http://schemas.microsoft.com/office/drawing/2014/chart" uri="{C3380CC4-5D6E-409C-BE32-E72D297353CC}">
              <c16:uniqueId val="{00000000-9976-E949-8D21-E319155D2E46}"/>
            </c:ext>
          </c:extLst>
        </c:ser>
        <c:ser>
          <c:idx val="1"/>
          <c:order val="1"/>
          <c:tx>
            <c:v>5%</c:v>
          </c:tx>
          <c:spPr>
            <a:ln w="19050" cap="rnd">
              <a:solidFill>
                <a:srgbClr val="355A95"/>
              </a:solidFill>
              <a:round/>
            </a:ln>
            <a:effectLst/>
          </c:spPr>
          <c:marker>
            <c:symbol val="none"/>
          </c:marker>
          <c:xVal>
            <c:numRef>
              <c:f>Error_HeatCapacity!$B$3:$B$117</c:f>
              <c:numCache>
                <c:formatCode>General</c:formatCode>
                <c:ptCount val="115"/>
                <c:pt idx="0">
                  <c:v>50</c:v>
                </c:pt>
                <c:pt idx="1">
                  <c:v>109.7</c:v>
                </c:pt>
                <c:pt idx="2">
                  <c:v>110</c:v>
                </c:pt>
                <c:pt idx="3">
                  <c:v>110.2</c:v>
                </c:pt>
                <c:pt idx="4">
                  <c:v>111.4</c:v>
                </c:pt>
                <c:pt idx="5">
                  <c:v>111.8</c:v>
                </c:pt>
                <c:pt idx="6">
                  <c:v>112</c:v>
                </c:pt>
                <c:pt idx="7">
                  <c:v>114</c:v>
                </c:pt>
                <c:pt idx="8">
                  <c:v>114.4</c:v>
                </c:pt>
                <c:pt idx="9">
                  <c:v>114.6</c:v>
                </c:pt>
                <c:pt idx="10">
                  <c:v>116.3</c:v>
                </c:pt>
                <c:pt idx="11">
                  <c:v>116.6</c:v>
                </c:pt>
                <c:pt idx="12">
                  <c:v>116.9</c:v>
                </c:pt>
                <c:pt idx="13">
                  <c:v>120.6</c:v>
                </c:pt>
                <c:pt idx="14">
                  <c:v>120.9</c:v>
                </c:pt>
                <c:pt idx="15">
                  <c:v>121.2</c:v>
                </c:pt>
                <c:pt idx="16">
                  <c:v>123.5</c:v>
                </c:pt>
                <c:pt idx="17">
                  <c:v>123.9</c:v>
                </c:pt>
                <c:pt idx="18">
                  <c:v>124.1</c:v>
                </c:pt>
                <c:pt idx="19">
                  <c:v>124.9</c:v>
                </c:pt>
                <c:pt idx="20">
                  <c:v>125.3</c:v>
                </c:pt>
                <c:pt idx="21">
                  <c:v>125.6</c:v>
                </c:pt>
                <c:pt idx="22">
                  <c:v>128.4</c:v>
                </c:pt>
                <c:pt idx="23">
                  <c:v>128.80000000000001</c:v>
                </c:pt>
                <c:pt idx="24">
                  <c:v>129</c:v>
                </c:pt>
                <c:pt idx="25">
                  <c:v>136.69999999999999</c:v>
                </c:pt>
                <c:pt idx="26">
                  <c:v>137.1</c:v>
                </c:pt>
                <c:pt idx="27">
                  <c:v>137.30000000000001</c:v>
                </c:pt>
                <c:pt idx="28">
                  <c:v>140.4</c:v>
                </c:pt>
                <c:pt idx="29">
                  <c:v>140.80000000000001</c:v>
                </c:pt>
                <c:pt idx="30">
                  <c:v>140.9</c:v>
                </c:pt>
                <c:pt idx="31">
                  <c:v>141.1</c:v>
                </c:pt>
                <c:pt idx="32">
                  <c:v>141.30000000000001</c:v>
                </c:pt>
                <c:pt idx="33">
                  <c:v>141.6</c:v>
                </c:pt>
                <c:pt idx="34">
                  <c:v>142.6</c:v>
                </c:pt>
                <c:pt idx="35">
                  <c:v>143.1</c:v>
                </c:pt>
                <c:pt idx="36">
                  <c:v>143.4</c:v>
                </c:pt>
                <c:pt idx="37">
                  <c:v>145.6</c:v>
                </c:pt>
                <c:pt idx="38">
                  <c:v>146.1</c:v>
                </c:pt>
                <c:pt idx="39">
                  <c:v>146.30000000000001</c:v>
                </c:pt>
                <c:pt idx="40">
                  <c:v>147.19999999999999</c:v>
                </c:pt>
                <c:pt idx="41">
                  <c:v>147.6</c:v>
                </c:pt>
                <c:pt idx="42">
                  <c:v>147.9</c:v>
                </c:pt>
                <c:pt idx="43">
                  <c:v>148.5</c:v>
                </c:pt>
                <c:pt idx="44">
                  <c:v>148.9</c:v>
                </c:pt>
                <c:pt idx="45">
                  <c:v>149.19999999999999</c:v>
                </c:pt>
                <c:pt idx="46">
                  <c:v>151.4</c:v>
                </c:pt>
                <c:pt idx="47">
                  <c:v>151.9</c:v>
                </c:pt>
                <c:pt idx="48">
                  <c:v>152.1</c:v>
                </c:pt>
                <c:pt idx="49">
                  <c:v>153.4</c:v>
                </c:pt>
                <c:pt idx="50">
                  <c:v>153.9</c:v>
                </c:pt>
                <c:pt idx="51">
                  <c:v>154.19999999999999</c:v>
                </c:pt>
                <c:pt idx="52">
                  <c:v>157.19999999999999</c:v>
                </c:pt>
                <c:pt idx="53">
                  <c:v>157.69999999999999</c:v>
                </c:pt>
                <c:pt idx="54">
                  <c:v>158</c:v>
                </c:pt>
                <c:pt idx="55">
                  <c:v>158.69999999999999</c:v>
                </c:pt>
                <c:pt idx="56">
                  <c:v>159.19999999999999</c:v>
                </c:pt>
                <c:pt idx="57">
                  <c:v>159.4</c:v>
                </c:pt>
                <c:pt idx="58">
                  <c:v>163</c:v>
                </c:pt>
                <c:pt idx="59">
                  <c:v>163.5</c:v>
                </c:pt>
                <c:pt idx="60">
                  <c:v>163.80000000000001</c:v>
                </c:pt>
                <c:pt idx="61">
                  <c:v>166.4</c:v>
                </c:pt>
                <c:pt idx="62">
                  <c:v>166.9</c:v>
                </c:pt>
                <c:pt idx="63">
                  <c:v>167.2</c:v>
                </c:pt>
                <c:pt idx="64">
                  <c:v>170.7</c:v>
                </c:pt>
                <c:pt idx="65">
                  <c:v>171.2</c:v>
                </c:pt>
                <c:pt idx="66">
                  <c:v>171.3</c:v>
                </c:pt>
                <c:pt idx="67">
                  <c:v>171.6</c:v>
                </c:pt>
                <c:pt idx="68">
                  <c:v>171.8</c:v>
                </c:pt>
                <c:pt idx="69">
                  <c:v>172.1</c:v>
                </c:pt>
                <c:pt idx="70">
                  <c:v>173.3</c:v>
                </c:pt>
                <c:pt idx="71">
                  <c:v>173.9</c:v>
                </c:pt>
                <c:pt idx="72">
                  <c:v>174.2</c:v>
                </c:pt>
                <c:pt idx="73">
                  <c:v>176.8</c:v>
                </c:pt>
                <c:pt idx="74">
                  <c:v>177.4</c:v>
                </c:pt>
                <c:pt idx="75">
                  <c:v>177.7</c:v>
                </c:pt>
                <c:pt idx="76">
                  <c:v>178.6</c:v>
                </c:pt>
                <c:pt idx="77">
                  <c:v>179.1</c:v>
                </c:pt>
                <c:pt idx="78">
                  <c:v>179.5</c:v>
                </c:pt>
                <c:pt idx="79">
                  <c:v>180.1</c:v>
                </c:pt>
                <c:pt idx="80">
                  <c:v>180.7</c:v>
                </c:pt>
                <c:pt idx="81">
                  <c:v>181.1</c:v>
                </c:pt>
                <c:pt idx="82">
                  <c:v>183.4</c:v>
                </c:pt>
                <c:pt idx="83">
                  <c:v>184</c:v>
                </c:pt>
                <c:pt idx="84">
                  <c:v>184.4</c:v>
                </c:pt>
                <c:pt idx="85">
                  <c:v>186</c:v>
                </c:pt>
                <c:pt idx="86">
                  <c:v>186.5</c:v>
                </c:pt>
                <c:pt idx="87">
                  <c:v>186.9</c:v>
                </c:pt>
                <c:pt idx="88">
                  <c:v>190.4</c:v>
                </c:pt>
                <c:pt idx="89">
                  <c:v>191</c:v>
                </c:pt>
                <c:pt idx="90">
                  <c:v>191.4</c:v>
                </c:pt>
                <c:pt idx="91">
                  <c:v>192.1</c:v>
                </c:pt>
                <c:pt idx="92">
                  <c:v>192.7</c:v>
                </c:pt>
                <c:pt idx="93">
                  <c:v>193</c:v>
                </c:pt>
                <c:pt idx="94">
                  <c:v>197.2</c:v>
                </c:pt>
                <c:pt idx="95">
                  <c:v>197.6</c:v>
                </c:pt>
                <c:pt idx="96">
                  <c:v>197.9</c:v>
                </c:pt>
                <c:pt idx="97">
                  <c:v>198.2</c:v>
                </c:pt>
                <c:pt idx="98">
                  <c:v>198.2</c:v>
                </c:pt>
                <c:pt idx="99">
                  <c:v>198.6</c:v>
                </c:pt>
                <c:pt idx="100">
                  <c:v>201.8</c:v>
                </c:pt>
                <c:pt idx="101">
                  <c:v>202.4</c:v>
                </c:pt>
                <c:pt idx="102">
                  <c:v>202.8</c:v>
                </c:pt>
                <c:pt idx="103">
                  <c:v>205.8</c:v>
                </c:pt>
                <c:pt idx="104">
                  <c:v>206.4</c:v>
                </c:pt>
                <c:pt idx="105">
                  <c:v>206.8</c:v>
                </c:pt>
                <c:pt idx="106">
                  <c:v>210.7</c:v>
                </c:pt>
                <c:pt idx="107">
                  <c:v>211.3</c:v>
                </c:pt>
                <c:pt idx="108">
                  <c:v>211.3</c:v>
                </c:pt>
                <c:pt idx="109">
                  <c:v>211.7</c:v>
                </c:pt>
                <c:pt idx="110">
                  <c:v>211.9</c:v>
                </c:pt>
                <c:pt idx="111">
                  <c:v>212.3</c:v>
                </c:pt>
                <c:pt idx="112">
                  <c:v>217</c:v>
                </c:pt>
                <c:pt idx="113">
                  <c:v>217.6</c:v>
                </c:pt>
                <c:pt idx="114">
                  <c:v>218.1</c:v>
                </c:pt>
              </c:numCache>
            </c:numRef>
          </c:xVal>
          <c:yVal>
            <c:numRef>
              <c:f>Error_HeatCapacity!$D$3:$D$117</c:f>
              <c:numCache>
                <c:formatCode>General</c:formatCode>
                <c:ptCount val="115"/>
                <c:pt idx="0">
                  <c:v>50</c:v>
                </c:pt>
                <c:pt idx="1">
                  <c:v>115.185</c:v>
                </c:pt>
                <c:pt idx="2">
                  <c:v>115.5</c:v>
                </c:pt>
                <c:pt idx="3">
                  <c:v>115.71000000000001</c:v>
                </c:pt>
                <c:pt idx="4">
                  <c:v>116.97</c:v>
                </c:pt>
                <c:pt idx="5">
                  <c:v>117.39</c:v>
                </c:pt>
                <c:pt idx="6">
                  <c:v>117.6</c:v>
                </c:pt>
                <c:pt idx="7">
                  <c:v>119.7</c:v>
                </c:pt>
                <c:pt idx="8">
                  <c:v>120.12</c:v>
                </c:pt>
                <c:pt idx="9">
                  <c:v>120.33</c:v>
                </c:pt>
                <c:pt idx="10">
                  <c:v>122.11499999999999</c:v>
                </c:pt>
                <c:pt idx="11">
                  <c:v>122.42999999999999</c:v>
                </c:pt>
                <c:pt idx="12">
                  <c:v>122.745</c:v>
                </c:pt>
                <c:pt idx="13">
                  <c:v>126.63</c:v>
                </c:pt>
                <c:pt idx="14">
                  <c:v>126.94500000000001</c:v>
                </c:pt>
                <c:pt idx="15">
                  <c:v>127.26</c:v>
                </c:pt>
                <c:pt idx="16">
                  <c:v>129.67500000000001</c:v>
                </c:pt>
                <c:pt idx="17">
                  <c:v>130.095</c:v>
                </c:pt>
                <c:pt idx="18">
                  <c:v>130.30500000000001</c:v>
                </c:pt>
                <c:pt idx="19">
                  <c:v>131.14500000000001</c:v>
                </c:pt>
                <c:pt idx="20">
                  <c:v>131.565</c:v>
                </c:pt>
                <c:pt idx="21">
                  <c:v>131.88</c:v>
                </c:pt>
                <c:pt idx="22">
                  <c:v>134.82</c:v>
                </c:pt>
                <c:pt idx="23">
                  <c:v>135.24</c:v>
                </c:pt>
                <c:pt idx="24">
                  <c:v>135.44999999999999</c:v>
                </c:pt>
                <c:pt idx="25">
                  <c:v>143.535</c:v>
                </c:pt>
                <c:pt idx="26">
                  <c:v>143.95499999999998</c:v>
                </c:pt>
                <c:pt idx="27">
                  <c:v>144.16500000000002</c:v>
                </c:pt>
                <c:pt idx="28">
                  <c:v>147.42000000000002</c:v>
                </c:pt>
                <c:pt idx="29">
                  <c:v>147.84</c:v>
                </c:pt>
                <c:pt idx="30">
                  <c:v>147.94499999999999</c:v>
                </c:pt>
                <c:pt idx="31">
                  <c:v>148.155</c:v>
                </c:pt>
                <c:pt idx="32">
                  <c:v>148.36500000000001</c:v>
                </c:pt>
                <c:pt idx="33">
                  <c:v>148.68</c:v>
                </c:pt>
                <c:pt idx="34">
                  <c:v>149.72999999999999</c:v>
                </c:pt>
                <c:pt idx="35">
                  <c:v>150.255</c:v>
                </c:pt>
                <c:pt idx="36">
                  <c:v>150.57</c:v>
                </c:pt>
                <c:pt idx="37">
                  <c:v>152.88</c:v>
                </c:pt>
                <c:pt idx="38">
                  <c:v>153.405</c:v>
                </c:pt>
                <c:pt idx="39">
                  <c:v>153.61500000000001</c:v>
                </c:pt>
                <c:pt idx="40">
                  <c:v>154.56</c:v>
                </c:pt>
                <c:pt idx="41">
                  <c:v>154.97999999999999</c:v>
                </c:pt>
                <c:pt idx="42">
                  <c:v>155.29500000000002</c:v>
                </c:pt>
                <c:pt idx="43">
                  <c:v>155.92500000000001</c:v>
                </c:pt>
                <c:pt idx="44">
                  <c:v>156.345</c:v>
                </c:pt>
                <c:pt idx="45">
                  <c:v>156.66</c:v>
                </c:pt>
                <c:pt idx="46">
                  <c:v>158.97</c:v>
                </c:pt>
                <c:pt idx="47">
                  <c:v>159.495</c:v>
                </c:pt>
                <c:pt idx="48">
                  <c:v>159.70499999999998</c:v>
                </c:pt>
                <c:pt idx="49">
                  <c:v>161.07</c:v>
                </c:pt>
                <c:pt idx="50">
                  <c:v>161.595</c:v>
                </c:pt>
                <c:pt idx="51">
                  <c:v>161.91</c:v>
                </c:pt>
                <c:pt idx="52">
                  <c:v>165.06</c:v>
                </c:pt>
                <c:pt idx="53">
                  <c:v>165.58499999999998</c:v>
                </c:pt>
                <c:pt idx="54">
                  <c:v>165.9</c:v>
                </c:pt>
                <c:pt idx="55">
                  <c:v>166.63499999999999</c:v>
                </c:pt>
                <c:pt idx="56">
                  <c:v>167.16</c:v>
                </c:pt>
                <c:pt idx="57">
                  <c:v>167.37</c:v>
                </c:pt>
                <c:pt idx="58">
                  <c:v>171.15</c:v>
                </c:pt>
                <c:pt idx="59">
                  <c:v>171.67500000000001</c:v>
                </c:pt>
                <c:pt idx="60">
                  <c:v>171.99</c:v>
                </c:pt>
                <c:pt idx="61">
                  <c:v>174.72</c:v>
                </c:pt>
                <c:pt idx="62">
                  <c:v>175.245</c:v>
                </c:pt>
                <c:pt idx="63">
                  <c:v>175.56</c:v>
                </c:pt>
                <c:pt idx="64">
                  <c:v>179.23499999999999</c:v>
                </c:pt>
                <c:pt idx="65">
                  <c:v>179.76</c:v>
                </c:pt>
                <c:pt idx="66">
                  <c:v>179.86500000000001</c:v>
                </c:pt>
                <c:pt idx="67">
                  <c:v>180.18</c:v>
                </c:pt>
                <c:pt idx="68">
                  <c:v>180.39000000000001</c:v>
                </c:pt>
                <c:pt idx="69">
                  <c:v>180.70499999999998</c:v>
                </c:pt>
                <c:pt idx="70">
                  <c:v>181.965</c:v>
                </c:pt>
                <c:pt idx="71">
                  <c:v>182.595</c:v>
                </c:pt>
                <c:pt idx="72">
                  <c:v>182.91</c:v>
                </c:pt>
                <c:pt idx="73">
                  <c:v>185.64000000000001</c:v>
                </c:pt>
                <c:pt idx="74">
                  <c:v>186.27</c:v>
                </c:pt>
                <c:pt idx="75">
                  <c:v>186.58499999999998</c:v>
                </c:pt>
                <c:pt idx="76">
                  <c:v>187.53</c:v>
                </c:pt>
                <c:pt idx="77">
                  <c:v>188.05500000000001</c:v>
                </c:pt>
                <c:pt idx="78">
                  <c:v>188.47499999999999</c:v>
                </c:pt>
                <c:pt idx="79">
                  <c:v>189.10499999999999</c:v>
                </c:pt>
                <c:pt idx="80">
                  <c:v>189.73499999999999</c:v>
                </c:pt>
                <c:pt idx="81">
                  <c:v>190.155</c:v>
                </c:pt>
                <c:pt idx="82">
                  <c:v>192.57</c:v>
                </c:pt>
                <c:pt idx="83">
                  <c:v>193.2</c:v>
                </c:pt>
                <c:pt idx="84">
                  <c:v>193.62</c:v>
                </c:pt>
                <c:pt idx="85">
                  <c:v>195.3</c:v>
                </c:pt>
                <c:pt idx="86">
                  <c:v>195.82499999999999</c:v>
                </c:pt>
                <c:pt idx="87">
                  <c:v>196.245</c:v>
                </c:pt>
                <c:pt idx="88">
                  <c:v>199.92000000000002</c:v>
                </c:pt>
                <c:pt idx="89">
                  <c:v>200.55</c:v>
                </c:pt>
                <c:pt idx="90">
                  <c:v>200.97</c:v>
                </c:pt>
                <c:pt idx="91">
                  <c:v>201.70499999999998</c:v>
                </c:pt>
                <c:pt idx="92">
                  <c:v>202.33499999999998</c:v>
                </c:pt>
                <c:pt idx="93">
                  <c:v>202.65</c:v>
                </c:pt>
                <c:pt idx="94">
                  <c:v>207.06</c:v>
                </c:pt>
                <c:pt idx="95">
                  <c:v>207.48</c:v>
                </c:pt>
                <c:pt idx="96">
                  <c:v>207.79500000000002</c:v>
                </c:pt>
                <c:pt idx="97">
                  <c:v>208.10999999999999</c:v>
                </c:pt>
                <c:pt idx="98">
                  <c:v>208.10999999999999</c:v>
                </c:pt>
                <c:pt idx="99">
                  <c:v>208.53</c:v>
                </c:pt>
                <c:pt idx="100">
                  <c:v>211.89000000000001</c:v>
                </c:pt>
                <c:pt idx="101">
                  <c:v>212.52</c:v>
                </c:pt>
                <c:pt idx="102">
                  <c:v>212.94</c:v>
                </c:pt>
                <c:pt idx="103">
                  <c:v>216.09</c:v>
                </c:pt>
                <c:pt idx="104">
                  <c:v>216.72</c:v>
                </c:pt>
                <c:pt idx="105">
                  <c:v>217.14000000000001</c:v>
                </c:pt>
                <c:pt idx="106">
                  <c:v>221.23499999999999</c:v>
                </c:pt>
                <c:pt idx="107">
                  <c:v>221.86500000000001</c:v>
                </c:pt>
                <c:pt idx="108">
                  <c:v>221.86500000000001</c:v>
                </c:pt>
                <c:pt idx="109">
                  <c:v>222.285</c:v>
                </c:pt>
                <c:pt idx="110">
                  <c:v>222.495</c:v>
                </c:pt>
                <c:pt idx="111">
                  <c:v>222.91500000000002</c:v>
                </c:pt>
                <c:pt idx="112">
                  <c:v>227.85</c:v>
                </c:pt>
                <c:pt idx="113">
                  <c:v>228.48</c:v>
                </c:pt>
                <c:pt idx="114">
                  <c:v>229.005</c:v>
                </c:pt>
              </c:numCache>
            </c:numRef>
          </c:yVal>
          <c:smooth val="1"/>
          <c:extLst>
            <c:ext xmlns:c16="http://schemas.microsoft.com/office/drawing/2014/chart" uri="{C3380CC4-5D6E-409C-BE32-E72D297353CC}">
              <c16:uniqueId val="{00000001-9976-E949-8D21-E319155D2E46}"/>
            </c:ext>
          </c:extLst>
        </c:ser>
        <c:ser>
          <c:idx val="2"/>
          <c:order val="2"/>
          <c:tx>
            <c:v>-5%</c:v>
          </c:tx>
          <c:spPr>
            <a:ln w="19050" cap="rnd">
              <a:solidFill>
                <a:srgbClr val="355A95"/>
              </a:solidFill>
              <a:round/>
            </a:ln>
            <a:effectLst/>
          </c:spPr>
          <c:marker>
            <c:symbol val="none"/>
          </c:marker>
          <c:xVal>
            <c:numRef>
              <c:f>Error_HeatCapacity!$B$3:$B$117</c:f>
              <c:numCache>
                <c:formatCode>General</c:formatCode>
                <c:ptCount val="115"/>
                <c:pt idx="0">
                  <c:v>50</c:v>
                </c:pt>
                <c:pt idx="1">
                  <c:v>109.7</c:v>
                </c:pt>
                <c:pt idx="2">
                  <c:v>110</c:v>
                </c:pt>
                <c:pt idx="3">
                  <c:v>110.2</c:v>
                </c:pt>
                <c:pt idx="4">
                  <c:v>111.4</c:v>
                </c:pt>
                <c:pt idx="5">
                  <c:v>111.8</c:v>
                </c:pt>
                <c:pt idx="6">
                  <c:v>112</c:v>
                </c:pt>
                <c:pt idx="7">
                  <c:v>114</c:v>
                </c:pt>
                <c:pt idx="8">
                  <c:v>114.4</c:v>
                </c:pt>
                <c:pt idx="9">
                  <c:v>114.6</c:v>
                </c:pt>
                <c:pt idx="10">
                  <c:v>116.3</c:v>
                </c:pt>
                <c:pt idx="11">
                  <c:v>116.6</c:v>
                </c:pt>
                <c:pt idx="12">
                  <c:v>116.9</c:v>
                </c:pt>
                <c:pt idx="13">
                  <c:v>120.6</c:v>
                </c:pt>
                <c:pt idx="14">
                  <c:v>120.9</c:v>
                </c:pt>
                <c:pt idx="15">
                  <c:v>121.2</c:v>
                </c:pt>
                <c:pt idx="16">
                  <c:v>123.5</c:v>
                </c:pt>
                <c:pt idx="17">
                  <c:v>123.9</c:v>
                </c:pt>
                <c:pt idx="18">
                  <c:v>124.1</c:v>
                </c:pt>
                <c:pt idx="19">
                  <c:v>124.9</c:v>
                </c:pt>
                <c:pt idx="20">
                  <c:v>125.3</c:v>
                </c:pt>
                <c:pt idx="21">
                  <c:v>125.6</c:v>
                </c:pt>
                <c:pt idx="22">
                  <c:v>128.4</c:v>
                </c:pt>
                <c:pt idx="23">
                  <c:v>128.80000000000001</c:v>
                </c:pt>
                <c:pt idx="24">
                  <c:v>129</c:v>
                </c:pt>
                <c:pt idx="25">
                  <c:v>136.69999999999999</c:v>
                </c:pt>
                <c:pt idx="26">
                  <c:v>137.1</c:v>
                </c:pt>
                <c:pt idx="27">
                  <c:v>137.30000000000001</c:v>
                </c:pt>
                <c:pt idx="28">
                  <c:v>140.4</c:v>
                </c:pt>
                <c:pt idx="29">
                  <c:v>140.80000000000001</c:v>
                </c:pt>
                <c:pt idx="30">
                  <c:v>140.9</c:v>
                </c:pt>
                <c:pt idx="31">
                  <c:v>141.1</c:v>
                </c:pt>
                <c:pt idx="32">
                  <c:v>141.30000000000001</c:v>
                </c:pt>
                <c:pt idx="33">
                  <c:v>141.6</c:v>
                </c:pt>
                <c:pt idx="34">
                  <c:v>142.6</c:v>
                </c:pt>
                <c:pt idx="35">
                  <c:v>143.1</c:v>
                </c:pt>
                <c:pt idx="36">
                  <c:v>143.4</c:v>
                </c:pt>
                <c:pt idx="37">
                  <c:v>145.6</c:v>
                </c:pt>
                <c:pt idx="38">
                  <c:v>146.1</c:v>
                </c:pt>
                <c:pt idx="39">
                  <c:v>146.30000000000001</c:v>
                </c:pt>
                <c:pt idx="40">
                  <c:v>147.19999999999999</c:v>
                </c:pt>
                <c:pt idx="41">
                  <c:v>147.6</c:v>
                </c:pt>
                <c:pt idx="42">
                  <c:v>147.9</c:v>
                </c:pt>
                <c:pt idx="43">
                  <c:v>148.5</c:v>
                </c:pt>
                <c:pt idx="44">
                  <c:v>148.9</c:v>
                </c:pt>
                <c:pt idx="45">
                  <c:v>149.19999999999999</c:v>
                </c:pt>
                <c:pt idx="46">
                  <c:v>151.4</c:v>
                </c:pt>
                <c:pt idx="47">
                  <c:v>151.9</c:v>
                </c:pt>
                <c:pt idx="48">
                  <c:v>152.1</c:v>
                </c:pt>
                <c:pt idx="49">
                  <c:v>153.4</c:v>
                </c:pt>
                <c:pt idx="50">
                  <c:v>153.9</c:v>
                </c:pt>
                <c:pt idx="51">
                  <c:v>154.19999999999999</c:v>
                </c:pt>
                <c:pt idx="52">
                  <c:v>157.19999999999999</c:v>
                </c:pt>
                <c:pt idx="53">
                  <c:v>157.69999999999999</c:v>
                </c:pt>
                <c:pt idx="54">
                  <c:v>158</c:v>
                </c:pt>
                <c:pt idx="55">
                  <c:v>158.69999999999999</c:v>
                </c:pt>
                <c:pt idx="56">
                  <c:v>159.19999999999999</c:v>
                </c:pt>
                <c:pt idx="57">
                  <c:v>159.4</c:v>
                </c:pt>
                <c:pt idx="58">
                  <c:v>163</c:v>
                </c:pt>
                <c:pt idx="59">
                  <c:v>163.5</c:v>
                </c:pt>
                <c:pt idx="60">
                  <c:v>163.80000000000001</c:v>
                </c:pt>
                <c:pt idx="61">
                  <c:v>166.4</c:v>
                </c:pt>
                <c:pt idx="62">
                  <c:v>166.9</c:v>
                </c:pt>
                <c:pt idx="63">
                  <c:v>167.2</c:v>
                </c:pt>
                <c:pt idx="64">
                  <c:v>170.7</c:v>
                </c:pt>
                <c:pt idx="65">
                  <c:v>171.2</c:v>
                </c:pt>
                <c:pt idx="66">
                  <c:v>171.3</c:v>
                </c:pt>
                <c:pt idx="67">
                  <c:v>171.6</c:v>
                </c:pt>
                <c:pt idx="68">
                  <c:v>171.8</c:v>
                </c:pt>
                <c:pt idx="69">
                  <c:v>172.1</c:v>
                </c:pt>
                <c:pt idx="70">
                  <c:v>173.3</c:v>
                </c:pt>
                <c:pt idx="71">
                  <c:v>173.9</c:v>
                </c:pt>
                <c:pt idx="72">
                  <c:v>174.2</c:v>
                </c:pt>
                <c:pt idx="73">
                  <c:v>176.8</c:v>
                </c:pt>
                <c:pt idx="74">
                  <c:v>177.4</c:v>
                </c:pt>
                <c:pt idx="75">
                  <c:v>177.7</c:v>
                </c:pt>
                <c:pt idx="76">
                  <c:v>178.6</c:v>
                </c:pt>
                <c:pt idx="77">
                  <c:v>179.1</c:v>
                </c:pt>
                <c:pt idx="78">
                  <c:v>179.5</c:v>
                </c:pt>
                <c:pt idx="79">
                  <c:v>180.1</c:v>
                </c:pt>
                <c:pt idx="80">
                  <c:v>180.7</c:v>
                </c:pt>
                <c:pt idx="81">
                  <c:v>181.1</c:v>
                </c:pt>
                <c:pt idx="82">
                  <c:v>183.4</c:v>
                </c:pt>
                <c:pt idx="83">
                  <c:v>184</c:v>
                </c:pt>
                <c:pt idx="84">
                  <c:v>184.4</c:v>
                </c:pt>
                <c:pt idx="85">
                  <c:v>186</c:v>
                </c:pt>
                <c:pt idx="86">
                  <c:v>186.5</c:v>
                </c:pt>
                <c:pt idx="87">
                  <c:v>186.9</c:v>
                </c:pt>
                <c:pt idx="88">
                  <c:v>190.4</c:v>
                </c:pt>
                <c:pt idx="89">
                  <c:v>191</c:v>
                </c:pt>
                <c:pt idx="90">
                  <c:v>191.4</c:v>
                </c:pt>
                <c:pt idx="91">
                  <c:v>192.1</c:v>
                </c:pt>
                <c:pt idx="92">
                  <c:v>192.7</c:v>
                </c:pt>
                <c:pt idx="93">
                  <c:v>193</c:v>
                </c:pt>
                <c:pt idx="94">
                  <c:v>197.2</c:v>
                </c:pt>
                <c:pt idx="95">
                  <c:v>197.6</c:v>
                </c:pt>
                <c:pt idx="96">
                  <c:v>197.9</c:v>
                </c:pt>
                <c:pt idx="97">
                  <c:v>198.2</c:v>
                </c:pt>
                <c:pt idx="98">
                  <c:v>198.2</c:v>
                </c:pt>
                <c:pt idx="99">
                  <c:v>198.6</c:v>
                </c:pt>
                <c:pt idx="100">
                  <c:v>201.8</c:v>
                </c:pt>
                <c:pt idx="101">
                  <c:v>202.4</c:v>
                </c:pt>
                <c:pt idx="102">
                  <c:v>202.8</c:v>
                </c:pt>
                <c:pt idx="103">
                  <c:v>205.8</c:v>
                </c:pt>
                <c:pt idx="104">
                  <c:v>206.4</c:v>
                </c:pt>
                <c:pt idx="105">
                  <c:v>206.8</c:v>
                </c:pt>
                <c:pt idx="106">
                  <c:v>210.7</c:v>
                </c:pt>
                <c:pt idx="107">
                  <c:v>211.3</c:v>
                </c:pt>
                <c:pt idx="108">
                  <c:v>211.3</c:v>
                </c:pt>
                <c:pt idx="109">
                  <c:v>211.7</c:v>
                </c:pt>
                <c:pt idx="110">
                  <c:v>211.9</c:v>
                </c:pt>
                <c:pt idx="111">
                  <c:v>212.3</c:v>
                </c:pt>
                <c:pt idx="112">
                  <c:v>217</c:v>
                </c:pt>
                <c:pt idx="113">
                  <c:v>217.6</c:v>
                </c:pt>
                <c:pt idx="114">
                  <c:v>218.1</c:v>
                </c:pt>
              </c:numCache>
            </c:numRef>
          </c:xVal>
          <c:yVal>
            <c:numRef>
              <c:f>Error_HeatCapacity!$E$3:$E$117</c:f>
              <c:numCache>
                <c:formatCode>General</c:formatCode>
                <c:ptCount val="115"/>
                <c:pt idx="0">
                  <c:v>50</c:v>
                </c:pt>
                <c:pt idx="1">
                  <c:v>104.215</c:v>
                </c:pt>
                <c:pt idx="2">
                  <c:v>104.5</c:v>
                </c:pt>
                <c:pt idx="3">
                  <c:v>104.69</c:v>
                </c:pt>
                <c:pt idx="4">
                  <c:v>105.83000000000001</c:v>
                </c:pt>
                <c:pt idx="5">
                  <c:v>106.21</c:v>
                </c:pt>
                <c:pt idx="6">
                  <c:v>106.4</c:v>
                </c:pt>
                <c:pt idx="7">
                  <c:v>108.3</c:v>
                </c:pt>
                <c:pt idx="8">
                  <c:v>108.68</c:v>
                </c:pt>
                <c:pt idx="9">
                  <c:v>108.86999999999999</c:v>
                </c:pt>
                <c:pt idx="10">
                  <c:v>110.485</c:v>
                </c:pt>
                <c:pt idx="11">
                  <c:v>110.77</c:v>
                </c:pt>
                <c:pt idx="12">
                  <c:v>111.05500000000001</c:v>
                </c:pt>
                <c:pt idx="13">
                  <c:v>114.57</c:v>
                </c:pt>
                <c:pt idx="14">
                  <c:v>114.855</c:v>
                </c:pt>
                <c:pt idx="15">
                  <c:v>115.14</c:v>
                </c:pt>
                <c:pt idx="16">
                  <c:v>117.325</c:v>
                </c:pt>
                <c:pt idx="17">
                  <c:v>117.70500000000001</c:v>
                </c:pt>
                <c:pt idx="18">
                  <c:v>117.895</c:v>
                </c:pt>
                <c:pt idx="19">
                  <c:v>118.655</c:v>
                </c:pt>
                <c:pt idx="20">
                  <c:v>119.035</c:v>
                </c:pt>
                <c:pt idx="21">
                  <c:v>119.32</c:v>
                </c:pt>
                <c:pt idx="22">
                  <c:v>121.98</c:v>
                </c:pt>
                <c:pt idx="23">
                  <c:v>122.36000000000001</c:v>
                </c:pt>
                <c:pt idx="24">
                  <c:v>122.55</c:v>
                </c:pt>
                <c:pt idx="25">
                  <c:v>129.86499999999998</c:v>
                </c:pt>
                <c:pt idx="26">
                  <c:v>130.245</c:v>
                </c:pt>
                <c:pt idx="27">
                  <c:v>130.435</c:v>
                </c:pt>
                <c:pt idx="28">
                  <c:v>133.38</c:v>
                </c:pt>
                <c:pt idx="29">
                  <c:v>133.76000000000002</c:v>
                </c:pt>
                <c:pt idx="30">
                  <c:v>133.85500000000002</c:v>
                </c:pt>
                <c:pt idx="31">
                  <c:v>134.04499999999999</c:v>
                </c:pt>
                <c:pt idx="32">
                  <c:v>134.23500000000001</c:v>
                </c:pt>
                <c:pt idx="33">
                  <c:v>134.51999999999998</c:v>
                </c:pt>
                <c:pt idx="34">
                  <c:v>135.47</c:v>
                </c:pt>
                <c:pt idx="35">
                  <c:v>135.94499999999999</c:v>
                </c:pt>
                <c:pt idx="36">
                  <c:v>136.23000000000002</c:v>
                </c:pt>
                <c:pt idx="37">
                  <c:v>138.32</c:v>
                </c:pt>
                <c:pt idx="38">
                  <c:v>138.79499999999999</c:v>
                </c:pt>
                <c:pt idx="39">
                  <c:v>138.98500000000001</c:v>
                </c:pt>
                <c:pt idx="40">
                  <c:v>139.83999999999997</c:v>
                </c:pt>
                <c:pt idx="41">
                  <c:v>140.22</c:v>
                </c:pt>
                <c:pt idx="42">
                  <c:v>140.505</c:v>
                </c:pt>
                <c:pt idx="43">
                  <c:v>141.07499999999999</c:v>
                </c:pt>
                <c:pt idx="44">
                  <c:v>141.45500000000001</c:v>
                </c:pt>
                <c:pt idx="45">
                  <c:v>141.73999999999998</c:v>
                </c:pt>
                <c:pt idx="46">
                  <c:v>143.83000000000001</c:v>
                </c:pt>
                <c:pt idx="47">
                  <c:v>144.30500000000001</c:v>
                </c:pt>
                <c:pt idx="48">
                  <c:v>144.495</c:v>
                </c:pt>
                <c:pt idx="49">
                  <c:v>145.73000000000002</c:v>
                </c:pt>
                <c:pt idx="50">
                  <c:v>146.20500000000001</c:v>
                </c:pt>
                <c:pt idx="51">
                  <c:v>146.48999999999998</c:v>
                </c:pt>
                <c:pt idx="52">
                  <c:v>149.33999999999997</c:v>
                </c:pt>
                <c:pt idx="53">
                  <c:v>149.815</c:v>
                </c:pt>
                <c:pt idx="54">
                  <c:v>150.1</c:v>
                </c:pt>
                <c:pt idx="55">
                  <c:v>150.76499999999999</c:v>
                </c:pt>
                <c:pt idx="56">
                  <c:v>151.23999999999998</c:v>
                </c:pt>
                <c:pt idx="57">
                  <c:v>151.43</c:v>
                </c:pt>
                <c:pt idx="58">
                  <c:v>154.85</c:v>
                </c:pt>
                <c:pt idx="59">
                  <c:v>155.32499999999999</c:v>
                </c:pt>
                <c:pt idx="60">
                  <c:v>155.61000000000001</c:v>
                </c:pt>
                <c:pt idx="61">
                  <c:v>158.08000000000001</c:v>
                </c:pt>
                <c:pt idx="62">
                  <c:v>158.55500000000001</c:v>
                </c:pt>
                <c:pt idx="63">
                  <c:v>158.83999999999997</c:v>
                </c:pt>
                <c:pt idx="64">
                  <c:v>162.16499999999999</c:v>
                </c:pt>
                <c:pt idx="65">
                  <c:v>162.63999999999999</c:v>
                </c:pt>
                <c:pt idx="66">
                  <c:v>162.73500000000001</c:v>
                </c:pt>
                <c:pt idx="67">
                  <c:v>163.01999999999998</c:v>
                </c:pt>
                <c:pt idx="68">
                  <c:v>163.21</c:v>
                </c:pt>
                <c:pt idx="69">
                  <c:v>163.495</c:v>
                </c:pt>
                <c:pt idx="70">
                  <c:v>164.63500000000002</c:v>
                </c:pt>
                <c:pt idx="71">
                  <c:v>165.20500000000001</c:v>
                </c:pt>
                <c:pt idx="72">
                  <c:v>165.48999999999998</c:v>
                </c:pt>
                <c:pt idx="73">
                  <c:v>167.96</c:v>
                </c:pt>
                <c:pt idx="74">
                  <c:v>168.53</c:v>
                </c:pt>
                <c:pt idx="75">
                  <c:v>168.815</c:v>
                </c:pt>
                <c:pt idx="76">
                  <c:v>169.67</c:v>
                </c:pt>
                <c:pt idx="77">
                  <c:v>170.14499999999998</c:v>
                </c:pt>
                <c:pt idx="78">
                  <c:v>170.52500000000001</c:v>
                </c:pt>
                <c:pt idx="79">
                  <c:v>171.095</c:v>
                </c:pt>
                <c:pt idx="80">
                  <c:v>171.66499999999999</c:v>
                </c:pt>
                <c:pt idx="81">
                  <c:v>172.04499999999999</c:v>
                </c:pt>
                <c:pt idx="82">
                  <c:v>174.23000000000002</c:v>
                </c:pt>
                <c:pt idx="83">
                  <c:v>174.8</c:v>
                </c:pt>
                <c:pt idx="84">
                  <c:v>175.18</c:v>
                </c:pt>
                <c:pt idx="85">
                  <c:v>176.7</c:v>
                </c:pt>
                <c:pt idx="86">
                  <c:v>177.17500000000001</c:v>
                </c:pt>
                <c:pt idx="87">
                  <c:v>177.55500000000001</c:v>
                </c:pt>
                <c:pt idx="88">
                  <c:v>180.88</c:v>
                </c:pt>
                <c:pt idx="89">
                  <c:v>181.45</c:v>
                </c:pt>
                <c:pt idx="90">
                  <c:v>181.83</c:v>
                </c:pt>
                <c:pt idx="91">
                  <c:v>182.495</c:v>
                </c:pt>
                <c:pt idx="92">
                  <c:v>183.065</c:v>
                </c:pt>
                <c:pt idx="93">
                  <c:v>183.35</c:v>
                </c:pt>
                <c:pt idx="94">
                  <c:v>187.33999999999997</c:v>
                </c:pt>
                <c:pt idx="95">
                  <c:v>187.72</c:v>
                </c:pt>
                <c:pt idx="96">
                  <c:v>188.005</c:v>
                </c:pt>
                <c:pt idx="97">
                  <c:v>188.29</c:v>
                </c:pt>
                <c:pt idx="98">
                  <c:v>188.29</c:v>
                </c:pt>
                <c:pt idx="99">
                  <c:v>188.67</c:v>
                </c:pt>
                <c:pt idx="100">
                  <c:v>191.71</c:v>
                </c:pt>
                <c:pt idx="101">
                  <c:v>192.28</c:v>
                </c:pt>
                <c:pt idx="102">
                  <c:v>192.66000000000003</c:v>
                </c:pt>
                <c:pt idx="103">
                  <c:v>195.51000000000002</c:v>
                </c:pt>
                <c:pt idx="104">
                  <c:v>196.08</c:v>
                </c:pt>
                <c:pt idx="105">
                  <c:v>196.46</c:v>
                </c:pt>
                <c:pt idx="106">
                  <c:v>200.16499999999999</c:v>
                </c:pt>
                <c:pt idx="107">
                  <c:v>200.73500000000001</c:v>
                </c:pt>
                <c:pt idx="108">
                  <c:v>200.73500000000001</c:v>
                </c:pt>
                <c:pt idx="109">
                  <c:v>201.11499999999998</c:v>
                </c:pt>
                <c:pt idx="110">
                  <c:v>201.30500000000001</c:v>
                </c:pt>
                <c:pt idx="111">
                  <c:v>201.685</c:v>
                </c:pt>
                <c:pt idx="112">
                  <c:v>206.15</c:v>
                </c:pt>
                <c:pt idx="113">
                  <c:v>206.72</c:v>
                </c:pt>
                <c:pt idx="114">
                  <c:v>207.19499999999999</c:v>
                </c:pt>
              </c:numCache>
            </c:numRef>
          </c:yVal>
          <c:smooth val="1"/>
          <c:extLst>
            <c:ext xmlns:c16="http://schemas.microsoft.com/office/drawing/2014/chart" uri="{C3380CC4-5D6E-409C-BE32-E72D297353CC}">
              <c16:uniqueId val="{00000002-9976-E949-8D21-E319155D2E46}"/>
            </c:ext>
          </c:extLst>
        </c:ser>
        <c:ser>
          <c:idx val="3"/>
          <c:order val="3"/>
          <c:tx>
            <c:v>Sim</c:v>
          </c:tx>
          <c:spPr>
            <a:ln w="19050" cap="rnd">
              <a:noFill/>
              <a:round/>
            </a:ln>
            <a:effectLst/>
          </c:spPr>
          <c:marker>
            <c:symbol val="circle"/>
            <c:size val="5"/>
            <c:spPr>
              <a:noFill/>
              <a:ln w="9525">
                <a:solidFill>
                  <a:schemeClr val="tx1"/>
                </a:solidFill>
              </a:ln>
              <a:effectLst/>
            </c:spPr>
          </c:marker>
          <c:xVal>
            <c:numRef>
              <c:f>Error_HeatCapacity!$B$4:$B$117</c:f>
              <c:numCache>
                <c:formatCode>General</c:formatCode>
                <c:ptCount val="114"/>
                <c:pt idx="0">
                  <c:v>109.7</c:v>
                </c:pt>
                <c:pt idx="1">
                  <c:v>110</c:v>
                </c:pt>
                <c:pt idx="2">
                  <c:v>110.2</c:v>
                </c:pt>
                <c:pt idx="3">
                  <c:v>111.4</c:v>
                </c:pt>
                <c:pt idx="4">
                  <c:v>111.8</c:v>
                </c:pt>
                <c:pt idx="5">
                  <c:v>112</c:v>
                </c:pt>
                <c:pt idx="6">
                  <c:v>114</c:v>
                </c:pt>
                <c:pt idx="7">
                  <c:v>114.4</c:v>
                </c:pt>
                <c:pt idx="8">
                  <c:v>114.6</c:v>
                </c:pt>
                <c:pt idx="9">
                  <c:v>116.3</c:v>
                </c:pt>
                <c:pt idx="10">
                  <c:v>116.6</c:v>
                </c:pt>
                <c:pt idx="11">
                  <c:v>116.9</c:v>
                </c:pt>
                <c:pt idx="12">
                  <c:v>120.6</c:v>
                </c:pt>
                <c:pt idx="13">
                  <c:v>120.9</c:v>
                </c:pt>
                <c:pt idx="14">
                  <c:v>121.2</c:v>
                </c:pt>
                <c:pt idx="15">
                  <c:v>123.5</c:v>
                </c:pt>
                <c:pt idx="16">
                  <c:v>123.9</c:v>
                </c:pt>
                <c:pt idx="17">
                  <c:v>124.1</c:v>
                </c:pt>
                <c:pt idx="18">
                  <c:v>124.9</c:v>
                </c:pt>
                <c:pt idx="19">
                  <c:v>125.3</c:v>
                </c:pt>
                <c:pt idx="20">
                  <c:v>125.6</c:v>
                </c:pt>
                <c:pt idx="21">
                  <c:v>128.4</c:v>
                </c:pt>
                <c:pt idx="22">
                  <c:v>128.80000000000001</c:v>
                </c:pt>
                <c:pt idx="23">
                  <c:v>129</c:v>
                </c:pt>
                <c:pt idx="24">
                  <c:v>136.69999999999999</c:v>
                </c:pt>
                <c:pt idx="25">
                  <c:v>137.1</c:v>
                </c:pt>
                <c:pt idx="26">
                  <c:v>137.30000000000001</c:v>
                </c:pt>
                <c:pt idx="27">
                  <c:v>140.4</c:v>
                </c:pt>
                <c:pt idx="28">
                  <c:v>140.80000000000001</c:v>
                </c:pt>
                <c:pt idx="29">
                  <c:v>140.9</c:v>
                </c:pt>
                <c:pt idx="30">
                  <c:v>141.1</c:v>
                </c:pt>
                <c:pt idx="31">
                  <c:v>141.30000000000001</c:v>
                </c:pt>
                <c:pt idx="32">
                  <c:v>141.6</c:v>
                </c:pt>
                <c:pt idx="33">
                  <c:v>142.6</c:v>
                </c:pt>
                <c:pt idx="34">
                  <c:v>143.1</c:v>
                </c:pt>
                <c:pt idx="35">
                  <c:v>143.4</c:v>
                </c:pt>
                <c:pt idx="36">
                  <c:v>145.6</c:v>
                </c:pt>
                <c:pt idx="37">
                  <c:v>146.1</c:v>
                </c:pt>
                <c:pt idx="38">
                  <c:v>146.30000000000001</c:v>
                </c:pt>
                <c:pt idx="39">
                  <c:v>147.19999999999999</c:v>
                </c:pt>
                <c:pt idx="40">
                  <c:v>147.6</c:v>
                </c:pt>
                <c:pt idx="41">
                  <c:v>147.9</c:v>
                </c:pt>
                <c:pt idx="42">
                  <c:v>148.5</c:v>
                </c:pt>
                <c:pt idx="43">
                  <c:v>148.9</c:v>
                </c:pt>
                <c:pt idx="44">
                  <c:v>149.19999999999999</c:v>
                </c:pt>
                <c:pt idx="45">
                  <c:v>151.4</c:v>
                </c:pt>
                <c:pt idx="46">
                  <c:v>151.9</c:v>
                </c:pt>
                <c:pt idx="47">
                  <c:v>152.1</c:v>
                </c:pt>
                <c:pt idx="48">
                  <c:v>153.4</c:v>
                </c:pt>
                <c:pt idx="49">
                  <c:v>153.9</c:v>
                </c:pt>
                <c:pt idx="50">
                  <c:v>154.19999999999999</c:v>
                </c:pt>
                <c:pt idx="51">
                  <c:v>157.19999999999999</c:v>
                </c:pt>
                <c:pt idx="52">
                  <c:v>157.69999999999999</c:v>
                </c:pt>
                <c:pt idx="53">
                  <c:v>158</c:v>
                </c:pt>
                <c:pt idx="54">
                  <c:v>158.69999999999999</c:v>
                </c:pt>
                <c:pt idx="55">
                  <c:v>159.19999999999999</c:v>
                </c:pt>
                <c:pt idx="56">
                  <c:v>159.4</c:v>
                </c:pt>
                <c:pt idx="57">
                  <c:v>163</c:v>
                </c:pt>
                <c:pt idx="58">
                  <c:v>163.5</c:v>
                </c:pt>
                <c:pt idx="59">
                  <c:v>163.80000000000001</c:v>
                </c:pt>
                <c:pt idx="60">
                  <c:v>166.4</c:v>
                </c:pt>
                <c:pt idx="61">
                  <c:v>166.9</c:v>
                </c:pt>
                <c:pt idx="62">
                  <c:v>167.2</c:v>
                </c:pt>
                <c:pt idx="63">
                  <c:v>170.7</c:v>
                </c:pt>
                <c:pt idx="64">
                  <c:v>171.2</c:v>
                </c:pt>
                <c:pt idx="65">
                  <c:v>171.3</c:v>
                </c:pt>
                <c:pt idx="66">
                  <c:v>171.6</c:v>
                </c:pt>
                <c:pt idx="67">
                  <c:v>171.8</c:v>
                </c:pt>
                <c:pt idx="68">
                  <c:v>172.1</c:v>
                </c:pt>
                <c:pt idx="69">
                  <c:v>173.3</c:v>
                </c:pt>
                <c:pt idx="70">
                  <c:v>173.9</c:v>
                </c:pt>
                <c:pt idx="71">
                  <c:v>174.2</c:v>
                </c:pt>
                <c:pt idx="72">
                  <c:v>176.8</c:v>
                </c:pt>
                <c:pt idx="73">
                  <c:v>177.4</c:v>
                </c:pt>
                <c:pt idx="74">
                  <c:v>177.7</c:v>
                </c:pt>
                <c:pt idx="75">
                  <c:v>178.6</c:v>
                </c:pt>
                <c:pt idx="76">
                  <c:v>179.1</c:v>
                </c:pt>
                <c:pt idx="77">
                  <c:v>179.5</c:v>
                </c:pt>
                <c:pt idx="78">
                  <c:v>180.1</c:v>
                </c:pt>
                <c:pt idx="79">
                  <c:v>180.7</c:v>
                </c:pt>
                <c:pt idx="80">
                  <c:v>181.1</c:v>
                </c:pt>
                <c:pt idx="81">
                  <c:v>183.4</c:v>
                </c:pt>
                <c:pt idx="82">
                  <c:v>184</c:v>
                </c:pt>
                <c:pt idx="83">
                  <c:v>184.4</c:v>
                </c:pt>
                <c:pt idx="84">
                  <c:v>186</c:v>
                </c:pt>
                <c:pt idx="85">
                  <c:v>186.5</c:v>
                </c:pt>
                <c:pt idx="86">
                  <c:v>186.9</c:v>
                </c:pt>
                <c:pt idx="87">
                  <c:v>190.4</c:v>
                </c:pt>
                <c:pt idx="88">
                  <c:v>191</c:v>
                </c:pt>
                <c:pt idx="89">
                  <c:v>191.4</c:v>
                </c:pt>
                <c:pt idx="90">
                  <c:v>192.1</c:v>
                </c:pt>
                <c:pt idx="91">
                  <c:v>192.7</c:v>
                </c:pt>
                <c:pt idx="92">
                  <c:v>193</c:v>
                </c:pt>
                <c:pt idx="93">
                  <c:v>197.2</c:v>
                </c:pt>
                <c:pt idx="94">
                  <c:v>197.6</c:v>
                </c:pt>
                <c:pt idx="95">
                  <c:v>197.9</c:v>
                </c:pt>
                <c:pt idx="96">
                  <c:v>198.2</c:v>
                </c:pt>
                <c:pt idx="97">
                  <c:v>198.2</c:v>
                </c:pt>
                <c:pt idx="98">
                  <c:v>198.6</c:v>
                </c:pt>
                <c:pt idx="99">
                  <c:v>201.8</c:v>
                </c:pt>
                <c:pt idx="100">
                  <c:v>202.4</c:v>
                </c:pt>
                <c:pt idx="101">
                  <c:v>202.8</c:v>
                </c:pt>
                <c:pt idx="102">
                  <c:v>205.8</c:v>
                </c:pt>
                <c:pt idx="103">
                  <c:v>206.4</c:v>
                </c:pt>
                <c:pt idx="104">
                  <c:v>206.8</c:v>
                </c:pt>
                <c:pt idx="105">
                  <c:v>210.7</c:v>
                </c:pt>
                <c:pt idx="106">
                  <c:v>211.3</c:v>
                </c:pt>
                <c:pt idx="107">
                  <c:v>211.3</c:v>
                </c:pt>
                <c:pt idx="108">
                  <c:v>211.7</c:v>
                </c:pt>
                <c:pt idx="109">
                  <c:v>211.9</c:v>
                </c:pt>
                <c:pt idx="110">
                  <c:v>212.3</c:v>
                </c:pt>
                <c:pt idx="111">
                  <c:v>217</c:v>
                </c:pt>
                <c:pt idx="112">
                  <c:v>217.6</c:v>
                </c:pt>
                <c:pt idx="113">
                  <c:v>218.1</c:v>
                </c:pt>
              </c:numCache>
            </c:numRef>
          </c:xVal>
          <c:yVal>
            <c:numRef>
              <c:f>Error_HeatCapacity!$F$4:$F$117</c:f>
              <c:numCache>
                <c:formatCode>General</c:formatCode>
                <c:ptCount val="114"/>
                <c:pt idx="0">
                  <c:v>111.01527670007786</c:v>
                </c:pt>
                <c:pt idx="1">
                  <c:v>111.27658761436979</c:v>
                </c:pt>
                <c:pt idx="2">
                  <c:v>112.7420450320781</c:v>
                </c:pt>
                <c:pt idx="3">
                  <c:v>114.54540771229006</c:v>
                </c:pt>
                <c:pt idx="4">
                  <c:v>114.760311858173</c:v>
                </c:pt>
                <c:pt idx="5">
                  <c:v>115.6559535409757</c:v>
                </c:pt>
                <c:pt idx="6">
                  <c:v>115.82445091844967</c:v>
                </c:pt>
                <c:pt idx="7">
                  <c:v>116.2721760442903</c:v>
                </c:pt>
                <c:pt idx="8">
                  <c:v>117.33631510456696</c:v>
                </c:pt>
                <c:pt idx="9">
                  <c:v>119.1860845531879</c:v>
                </c:pt>
                <c:pt idx="10">
                  <c:v>119.30817516225287</c:v>
                </c:pt>
                <c:pt idx="11">
                  <c:v>120.82003934837019</c:v>
                </c:pt>
                <c:pt idx="12">
                  <c:v>122.61696880232245</c:v>
                </c:pt>
                <c:pt idx="13">
                  <c:v>122.69265264297847</c:v>
                </c:pt>
                <c:pt idx="14">
                  <c:v>124.20451682909578</c:v>
                </c:pt>
                <c:pt idx="15">
                  <c:v>126.14709981453466</c:v>
                </c:pt>
                <c:pt idx="16">
                  <c:v>126.17637688678167</c:v>
                </c:pt>
                <c:pt idx="17">
                  <c:v>127.24051594705834</c:v>
                </c:pt>
                <c:pt idx="18">
                  <c:v>127.2576456432203</c:v>
                </c:pt>
                <c:pt idx="19">
                  <c:v>127.68824107289898</c:v>
                </c:pt>
                <c:pt idx="20">
                  <c:v>128.79878690158463</c:v>
                </c:pt>
                <c:pt idx="21">
                  <c:v>130.72424019086154</c:v>
                </c:pt>
                <c:pt idx="22">
                  <c:v>130.78777665543248</c:v>
                </c:pt>
                <c:pt idx="23">
                  <c:v>132.28251114538784</c:v>
                </c:pt>
                <c:pt idx="24">
                  <c:v>134.58732679637581</c:v>
                </c:pt>
                <c:pt idx="25">
                  <c:v>134.83649033458263</c:v>
                </c:pt>
                <c:pt idx="26">
                  <c:v>136.19200451931104</c:v>
                </c:pt>
                <c:pt idx="27">
                  <c:v>139.18159686886466</c:v>
                </c:pt>
                <c:pt idx="28">
                  <c:v>139.47716717548047</c:v>
                </c:pt>
                <c:pt idx="29">
                  <c:v>140.42447171498713</c:v>
                </c:pt>
                <c:pt idx="30">
                  <c:v>140.72004202160295</c:v>
                </c:pt>
                <c:pt idx="31">
                  <c:v>140.73986782339091</c:v>
                </c:pt>
                <c:pt idx="32">
                  <c:v>142.02914943792237</c:v>
                </c:pt>
                <c:pt idx="33">
                  <c:v>143.90819595879032</c:v>
                </c:pt>
                <c:pt idx="34">
                  <c:v>144.25017303381512</c:v>
                </c:pt>
                <c:pt idx="35">
                  <c:v>144.972335019067</c:v>
                </c:pt>
                <c:pt idx="36">
                  <c:v>145.36071886250079</c:v>
                </c:pt>
                <c:pt idx="37">
                  <c:v>145.51287368172558</c:v>
                </c:pt>
                <c:pt idx="38">
                  <c:v>146.04979859339346</c:v>
                </c:pt>
                <c:pt idx="39">
                  <c:v>146.43818243682722</c:v>
                </c:pt>
                <c:pt idx="40">
                  <c:v>146.57701274200224</c:v>
                </c:pt>
                <c:pt idx="41">
                  <c:v>147.6544763163287</c:v>
                </c:pt>
                <c:pt idx="42">
                  <c:v>148.45605926287021</c:v>
                </c:pt>
                <c:pt idx="43">
                  <c:v>148.89084987471296</c:v>
                </c:pt>
                <c:pt idx="44">
                  <c:v>150.06073698580545</c:v>
                </c:pt>
                <c:pt idx="45">
                  <c:v>150.59766189747333</c:v>
                </c:pt>
                <c:pt idx="46">
                  <c:v>151.07885927772506</c:v>
                </c:pt>
                <c:pt idx="47">
                  <c:v>151.79412997518682</c:v>
                </c:pt>
                <c:pt idx="48">
                  <c:v>152.20233962040857</c:v>
                </c:pt>
                <c:pt idx="49">
                  <c:v>152.32173412384753</c:v>
                </c:pt>
                <c:pt idx="50">
                  <c:v>153.44521446653104</c:v>
                </c:pt>
                <c:pt idx="51">
                  <c:v>155.27785421899003</c:v>
                </c:pt>
                <c:pt idx="52">
                  <c:v>155.8518651360597</c:v>
                </c:pt>
                <c:pt idx="53">
                  <c:v>156.38840004767567</c:v>
                </c:pt>
                <c:pt idx="54">
                  <c:v>156.92893871033425</c:v>
                </c:pt>
                <c:pt idx="55">
                  <c:v>156.96241096474537</c:v>
                </c:pt>
                <c:pt idx="56">
                  <c:v>157.99307777061091</c:v>
                </c:pt>
                <c:pt idx="57">
                  <c:v>159.8257175230699</c:v>
                </c:pt>
                <c:pt idx="58">
                  <c:v>160.49254197695754</c:v>
                </c:pt>
                <c:pt idx="59">
                  <c:v>161.47680201441412</c:v>
                </c:pt>
                <c:pt idx="60">
                  <c:v>163.82802443381109</c:v>
                </c:pt>
                <c:pt idx="61">
                  <c:v>164.54125565610772</c:v>
                </c:pt>
                <c:pt idx="62">
                  <c:v>165.47910892515532</c:v>
                </c:pt>
                <c:pt idx="63">
                  <c:v>168.37588773789096</c:v>
                </c:pt>
                <c:pt idx="64">
                  <c:v>169.18193249700556</c:v>
                </c:pt>
                <c:pt idx="65">
                  <c:v>169.61876258401344</c:v>
                </c:pt>
                <c:pt idx="66">
                  <c:v>170.07337899764417</c:v>
                </c:pt>
                <c:pt idx="67">
                  <c:v>170.42480734312804</c:v>
                </c:pt>
                <c:pt idx="68">
                  <c:v>171.31625384376665</c:v>
                </c:pt>
                <c:pt idx="69">
                  <c:v>173.10248682781665</c:v>
                </c:pt>
                <c:pt idx="70">
                  <c:v>173.9549383553402</c:v>
                </c:pt>
                <c:pt idx="71">
                  <c:v>174.16662588809331</c:v>
                </c:pt>
                <c:pt idx="72">
                  <c:v>174.79997808756983</c:v>
                </c:pt>
                <c:pt idx="73">
                  <c:v>175.06548418402588</c:v>
                </c:pt>
                <c:pt idx="74">
                  <c:v>175.24408946241977</c:v>
                </c:pt>
                <c:pt idx="75">
                  <c:v>175.86411714784654</c:v>
                </c:pt>
                <c:pt idx="76">
                  <c:v>176.14294775835231</c:v>
                </c:pt>
                <c:pt idx="77">
                  <c:v>176.94158072217297</c:v>
                </c:pt>
                <c:pt idx="78">
                  <c:v>177.65035013189652</c:v>
                </c:pt>
                <c:pt idx="79">
                  <c:v>178.59561519623804</c:v>
                </c:pt>
                <c:pt idx="80">
                  <c:v>179.34784139164972</c:v>
                </c:pt>
                <c:pt idx="81">
                  <c:v>179.79195276649963</c:v>
                </c:pt>
                <c:pt idx="82">
                  <c:v>180.78362459925015</c:v>
                </c:pt>
                <c:pt idx="83">
                  <c:v>180.98842084421312</c:v>
                </c:pt>
                <c:pt idx="84">
                  <c:v>181.48944402625287</c:v>
                </c:pt>
                <c:pt idx="85">
                  <c:v>182.02649944537262</c:v>
                </c:pt>
                <c:pt idx="86">
                  <c:v>182.68591210396636</c:v>
                </c:pt>
                <c:pt idx="87">
                  <c:v>184.42573831960735</c:v>
                </c:pt>
                <c:pt idx="88">
                  <c:v>185.53628414829302</c:v>
                </c:pt>
                <c:pt idx="89">
                  <c:v>185.55663045758479</c:v>
                </c:pt>
                <c:pt idx="90">
                  <c:v>186.16963634776954</c:v>
                </c:pt>
                <c:pt idx="91">
                  <c:v>186.66717628627046</c:v>
                </c:pt>
                <c:pt idx="92">
                  <c:v>187.28018217645521</c:v>
                </c:pt>
                <c:pt idx="93">
                  <c:v>188.97360162368724</c:v>
                </c:pt>
                <c:pt idx="94">
                  <c:v>190.19730729848263</c:v>
                </c:pt>
                <c:pt idx="95">
                  <c:v>190.71749965184944</c:v>
                </c:pt>
                <c:pt idx="96">
                  <c:v>204.62400740508198</c:v>
                </c:pt>
                <c:pt idx="97">
                  <c:v>205.84771307987737</c:v>
                </c:pt>
                <c:pt idx="98">
                  <c:v>206.36790543324418</c:v>
                </c:pt>
                <c:pt idx="99">
                  <c:v>209.17187070916185</c:v>
                </c:pt>
                <c:pt idx="100">
                  <c:v>210.36833878687534</c:v>
                </c:pt>
                <c:pt idx="101">
                  <c:v>210.48838992077523</c:v>
                </c:pt>
                <c:pt idx="102">
                  <c:v>210.96217550573303</c:v>
                </c:pt>
                <c:pt idx="103">
                  <c:v>211.73126476689768</c:v>
                </c:pt>
                <c:pt idx="104">
                  <c:v>212.15864358344649</c:v>
                </c:pt>
                <c:pt idx="105">
                  <c:v>213.80565626226957</c:v>
                </c:pt>
                <c:pt idx="106">
                  <c:v>214.91620209095524</c:v>
                </c:pt>
                <c:pt idx="107">
                  <c:v>215.26139577910985</c:v>
                </c:pt>
                <c:pt idx="108">
                  <c:v>215.59596105884071</c:v>
                </c:pt>
                <c:pt idx="109">
                  <c:v>216.37194160779555</c:v>
                </c:pt>
                <c:pt idx="110">
                  <c:v>216.70650688752639</c:v>
                </c:pt>
                <c:pt idx="111">
                  <c:v>218.35351956634946</c:v>
                </c:pt>
                <c:pt idx="112">
                  <c:v>219.90207262000774</c:v>
                </c:pt>
                <c:pt idx="113">
                  <c:v>220.14382436292061</c:v>
                </c:pt>
              </c:numCache>
            </c:numRef>
          </c:yVal>
          <c:smooth val="1"/>
          <c:extLst>
            <c:ext xmlns:c16="http://schemas.microsoft.com/office/drawing/2014/chart" uri="{C3380CC4-5D6E-409C-BE32-E72D297353CC}">
              <c16:uniqueId val="{00000003-9976-E949-8D21-E319155D2E46}"/>
            </c:ext>
          </c:extLst>
        </c:ser>
        <c:dLbls>
          <c:showLegendKey val="0"/>
          <c:showVal val="0"/>
          <c:showCatName val="0"/>
          <c:showSerName val="0"/>
          <c:showPercent val="0"/>
          <c:showBubbleSize val="0"/>
        </c:dLbls>
        <c:axId val="454706632"/>
        <c:axId val="454707272"/>
      </c:scatterChart>
      <c:valAx>
        <c:axId val="454706632"/>
        <c:scaling>
          <c:orientation val="minMax"/>
          <c:max val="230"/>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1000" b="0" i="0" u="none" strike="noStrike" baseline="0">
                    <a:effectLst/>
                    <a:latin typeface="Calibri" panose="020F0502020204030204" pitchFamily="34" charset="0"/>
                    <a:cs typeface="Calibri" panose="020F0502020204030204" pitchFamily="34" charset="0"/>
                  </a:rPr>
                  <a:t>Heat</a:t>
                </a:r>
                <a:r>
                  <a:rPr lang="en-US" altLang="zh-CN" sz="1000" b="0" i="0" u="none" strike="noStrike" baseline="0">
                    <a:effectLst/>
                    <a:latin typeface="Calibri" panose="020F0502020204030204" pitchFamily="34" charset="0"/>
                    <a:cs typeface="Calibri" panose="020F0502020204030204" pitchFamily="34" charset="0"/>
                  </a:rPr>
                  <a:t>ing</a:t>
                </a:r>
                <a:r>
                  <a:rPr lang="en-US" sz="1000" b="0" i="0" u="none" strike="noStrike" baseline="0">
                    <a:effectLst/>
                    <a:latin typeface="Calibri" panose="020F0502020204030204" pitchFamily="34" charset="0"/>
                    <a:cs typeface="Calibri" panose="020F0502020204030204" pitchFamily="34" charset="0"/>
                  </a:rPr>
                  <a:t> capacity from simulation (kW)</a:t>
                </a:r>
                <a:endParaRPr lang="zh-TW" altLang="en-US">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4707272"/>
        <c:crosses val="autoZero"/>
        <c:crossBetween val="midCat"/>
      </c:valAx>
      <c:valAx>
        <c:axId val="454707272"/>
        <c:scaling>
          <c:orientation val="minMax"/>
          <c:max val="230"/>
          <c:min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altLang="zh-TW">
                    <a:latin typeface="Calibri" panose="020F0502020204030204" pitchFamily="34" charset="0"/>
                    <a:cs typeface="Calibri" panose="020F0502020204030204" pitchFamily="34" charset="0"/>
                  </a:rPr>
                  <a:t>Heating capacity from catalog</a:t>
                </a:r>
                <a:r>
                  <a:rPr lang="en-US" altLang="zh-TW" baseline="0">
                    <a:latin typeface="Calibri" panose="020F0502020204030204" pitchFamily="34" charset="0"/>
                    <a:cs typeface="Calibri" panose="020F0502020204030204" pitchFamily="34" charset="0"/>
                  </a:rPr>
                  <a:t> </a:t>
                </a:r>
                <a:r>
                  <a:rPr lang="en-US" altLang="zh-TW">
                    <a:latin typeface="Calibri" panose="020F0502020204030204" pitchFamily="34" charset="0"/>
                    <a:cs typeface="Calibri" panose="020F0502020204030204" pitchFamily="34" charset="0"/>
                  </a:rPr>
                  <a:t>(kW)</a:t>
                </a:r>
                <a:endParaRPr lang="zh-TW" altLang="en-US">
                  <a:latin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4706632"/>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69118991705"/>
          <c:y val="4.6218487394957986E-2"/>
          <c:w val="0.80491517507679966"/>
          <c:h val="0.83105769867001922"/>
        </c:manualLayout>
      </c:layout>
      <c:scatterChart>
        <c:scatterStyle val="smoothMarker"/>
        <c:varyColors val="0"/>
        <c:ser>
          <c:idx val="0"/>
          <c:order val="0"/>
          <c:tx>
            <c:v>准确</c:v>
          </c:tx>
          <c:spPr>
            <a:ln w="19050" cap="rnd">
              <a:solidFill>
                <a:schemeClr val="tx1"/>
              </a:solidFill>
              <a:round/>
            </a:ln>
            <a:effectLst/>
          </c:spPr>
          <c:marker>
            <c:symbol val="none"/>
          </c:marker>
          <c:xVal>
            <c:numRef>
              <c:f>Error_Power!$B$3:$B$117</c:f>
              <c:numCache>
                <c:formatCode>General</c:formatCode>
                <c:ptCount val="115"/>
                <c:pt idx="0">
                  <c:v>15</c:v>
                </c:pt>
                <c:pt idx="1">
                  <c:v>23.4</c:v>
                </c:pt>
                <c:pt idx="2">
                  <c:v>23.5</c:v>
                </c:pt>
                <c:pt idx="3">
                  <c:v>23.7</c:v>
                </c:pt>
                <c:pt idx="4">
                  <c:v>23.8</c:v>
                </c:pt>
                <c:pt idx="5">
                  <c:v>24.2</c:v>
                </c:pt>
                <c:pt idx="6">
                  <c:v>24.3</c:v>
                </c:pt>
                <c:pt idx="7">
                  <c:v>24.7</c:v>
                </c:pt>
                <c:pt idx="8">
                  <c:v>24.9</c:v>
                </c:pt>
                <c:pt idx="9">
                  <c:v>25</c:v>
                </c:pt>
                <c:pt idx="10">
                  <c:v>25.2</c:v>
                </c:pt>
                <c:pt idx="11">
                  <c:v>25.4</c:v>
                </c:pt>
                <c:pt idx="12">
                  <c:v>25.5</c:v>
                </c:pt>
                <c:pt idx="13">
                  <c:v>25.7</c:v>
                </c:pt>
                <c:pt idx="14">
                  <c:v>25.9</c:v>
                </c:pt>
                <c:pt idx="15">
                  <c:v>26</c:v>
                </c:pt>
                <c:pt idx="16">
                  <c:v>26.1</c:v>
                </c:pt>
                <c:pt idx="17">
                  <c:v>26.2</c:v>
                </c:pt>
                <c:pt idx="18">
                  <c:v>26.3</c:v>
                </c:pt>
                <c:pt idx="19">
                  <c:v>26.4</c:v>
                </c:pt>
                <c:pt idx="20">
                  <c:v>26.4</c:v>
                </c:pt>
                <c:pt idx="21">
                  <c:v>26.6</c:v>
                </c:pt>
                <c:pt idx="22">
                  <c:v>27.1</c:v>
                </c:pt>
                <c:pt idx="23">
                  <c:v>27.1</c:v>
                </c:pt>
                <c:pt idx="24">
                  <c:v>27.3</c:v>
                </c:pt>
                <c:pt idx="25">
                  <c:v>27.3</c:v>
                </c:pt>
                <c:pt idx="26">
                  <c:v>27.5</c:v>
                </c:pt>
                <c:pt idx="27">
                  <c:v>27.5</c:v>
                </c:pt>
                <c:pt idx="28">
                  <c:v>27.7</c:v>
                </c:pt>
                <c:pt idx="29">
                  <c:v>27.9</c:v>
                </c:pt>
                <c:pt idx="30">
                  <c:v>28</c:v>
                </c:pt>
                <c:pt idx="31">
                  <c:v>28.6</c:v>
                </c:pt>
                <c:pt idx="32">
                  <c:v>28.8</c:v>
                </c:pt>
                <c:pt idx="33">
                  <c:v>29</c:v>
                </c:pt>
                <c:pt idx="34">
                  <c:v>30.4</c:v>
                </c:pt>
                <c:pt idx="35">
                  <c:v>30.5</c:v>
                </c:pt>
                <c:pt idx="36">
                  <c:v>30.8</c:v>
                </c:pt>
                <c:pt idx="37">
                  <c:v>30.9</c:v>
                </c:pt>
                <c:pt idx="38">
                  <c:v>31.5</c:v>
                </c:pt>
                <c:pt idx="39">
                  <c:v>31.5</c:v>
                </c:pt>
                <c:pt idx="40">
                  <c:v>31.6</c:v>
                </c:pt>
                <c:pt idx="41">
                  <c:v>31.7</c:v>
                </c:pt>
                <c:pt idx="42">
                  <c:v>31.9</c:v>
                </c:pt>
                <c:pt idx="43">
                  <c:v>32.1</c:v>
                </c:pt>
                <c:pt idx="44">
                  <c:v>32.4</c:v>
                </c:pt>
                <c:pt idx="45">
                  <c:v>32.5</c:v>
                </c:pt>
                <c:pt idx="46">
                  <c:v>32.5</c:v>
                </c:pt>
                <c:pt idx="47">
                  <c:v>32.799999999999997</c:v>
                </c:pt>
                <c:pt idx="48">
                  <c:v>33</c:v>
                </c:pt>
                <c:pt idx="49">
                  <c:v>33.200000000000003</c:v>
                </c:pt>
                <c:pt idx="50">
                  <c:v>33.200000000000003</c:v>
                </c:pt>
                <c:pt idx="51">
                  <c:v>33.5</c:v>
                </c:pt>
                <c:pt idx="52">
                  <c:v>33.5</c:v>
                </c:pt>
                <c:pt idx="53">
                  <c:v>33.6</c:v>
                </c:pt>
                <c:pt idx="54">
                  <c:v>33.700000000000003</c:v>
                </c:pt>
                <c:pt idx="55">
                  <c:v>34</c:v>
                </c:pt>
                <c:pt idx="56">
                  <c:v>34.299999999999997</c:v>
                </c:pt>
                <c:pt idx="57">
                  <c:v>34.299999999999997</c:v>
                </c:pt>
                <c:pt idx="58">
                  <c:v>34.5</c:v>
                </c:pt>
                <c:pt idx="59">
                  <c:v>34.6</c:v>
                </c:pt>
                <c:pt idx="60">
                  <c:v>34.700000000000003</c:v>
                </c:pt>
                <c:pt idx="61">
                  <c:v>34.799999999999997</c:v>
                </c:pt>
                <c:pt idx="62">
                  <c:v>35</c:v>
                </c:pt>
                <c:pt idx="63">
                  <c:v>35.200000000000003</c:v>
                </c:pt>
                <c:pt idx="64">
                  <c:v>35.9</c:v>
                </c:pt>
                <c:pt idx="65">
                  <c:v>36.200000000000003</c:v>
                </c:pt>
                <c:pt idx="66">
                  <c:v>36.4</c:v>
                </c:pt>
                <c:pt idx="67">
                  <c:v>40.799999999999997</c:v>
                </c:pt>
                <c:pt idx="68">
                  <c:v>41</c:v>
                </c:pt>
                <c:pt idx="69">
                  <c:v>41.4</c:v>
                </c:pt>
                <c:pt idx="70">
                  <c:v>41.6</c:v>
                </c:pt>
                <c:pt idx="71">
                  <c:v>41.6</c:v>
                </c:pt>
                <c:pt idx="72">
                  <c:v>41.9</c:v>
                </c:pt>
                <c:pt idx="73">
                  <c:v>42.1</c:v>
                </c:pt>
                <c:pt idx="74">
                  <c:v>42.4</c:v>
                </c:pt>
                <c:pt idx="75">
                  <c:v>42.5</c:v>
                </c:pt>
                <c:pt idx="76">
                  <c:v>42.6</c:v>
                </c:pt>
                <c:pt idx="77">
                  <c:v>42.8</c:v>
                </c:pt>
                <c:pt idx="78">
                  <c:v>42.8</c:v>
                </c:pt>
                <c:pt idx="79">
                  <c:v>43</c:v>
                </c:pt>
                <c:pt idx="80">
                  <c:v>43.2</c:v>
                </c:pt>
                <c:pt idx="81">
                  <c:v>43.4</c:v>
                </c:pt>
                <c:pt idx="82">
                  <c:v>43.7</c:v>
                </c:pt>
                <c:pt idx="83">
                  <c:v>43.9</c:v>
                </c:pt>
                <c:pt idx="84">
                  <c:v>44.1</c:v>
                </c:pt>
                <c:pt idx="85">
                  <c:v>44.2</c:v>
                </c:pt>
                <c:pt idx="86">
                  <c:v>44.3</c:v>
                </c:pt>
                <c:pt idx="87">
                  <c:v>44.4</c:v>
                </c:pt>
                <c:pt idx="88">
                  <c:v>45.2</c:v>
                </c:pt>
                <c:pt idx="89">
                  <c:v>45.5</c:v>
                </c:pt>
                <c:pt idx="90">
                  <c:v>45.8</c:v>
                </c:pt>
                <c:pt idx="91">
                  <c:v>47.8</c:v>
                </c:pt>
                <c:pt idx="92">
                  <c:v>48</c:v>
                </c:pt>
                <c:pt idx="93">
                  <c:v>48.4</c:v>
                </c:pt>
                <c:pt idx="94">
                  <c:v>48.5</c:v>
                </c:pt>
                <c:pt idx="95">
                  <c:v>48.7</c:v>
                </c:pt>
                <c:pt idx="96">
                  <c:v>48.7</c:v>
                </c:pt>
                <c:pt idx="97">
                  <c:v>49</c:v>
                </c:pt>
                <c:pt idx="98">
                  <c:v>49.4</c:v>
                </c:pt>
                <c:pt idx="99">
                  <c:v>49.7</c:v>
                </c:pt>
                <c:pt idx="100">
                  <c:v>49.7</c:v>
                </c:pt>
                <c:pt idx="101">
                  <c:v>49.7</c:v>
                </c:pt>
                <c:pt idx="102">
                  <c:v>49.9</c:v>
                </c:pt>
                <c:pt idx="103">
                  <c:v>50</c:v>
                </c:pt>
                <c:pt idx="104">
                  <c:v>50.1</c:v>
                </c:pt>
                <c:pt idx="105">
                  <c:v>50.3</c:v>
                </c:pt>
                <c:pt idx="106">
                  <c:v>50.7</c:v>
                </c:pt>
                <c:pt idx="107">
                  <c:v>51</c:v>
                </c:pt>
                <c:pt idx="108">
                  <c:v>51.1</c:v>
                </c:pt>
                <c:pt idx="109">
                  <c:v>51.4</c:v>
                </c:pt>
                <c:pt idx="110">
                  <c:v>51.4</c:v>
                </c:pt>
                <c:pt idx="111">
                  <c:v>51.7</c:v>
                </c:pt>
                <c:pt idx="112">
                  <c:v>52.4</c:v>
                </c:pt>
                <c:pt idx="113">
                  <c:v>52.8</c:v>
                </c:pt>
                <c:pt idx="114">
                  <c:v>53.1</c:v>
                </c:pt>
              </c:numCache>
            </c:numRef>
          </c:xVal>
          <c:yVal>
            <c:numRef>
              <c:f>Error_Power!$C$3:$C$117</c:f>
              <c:numCache>
                <c:formatCode>General</c:formatCode>
                <c:ptCount val="115"/>
                <c:pt idx="0">
                  <c:v>15</c:v>
                </c:pt>
                <c:pt idx="1">
                  <c:v>23.4</c:v>
                </c:pt>
                <c:pt idx="2">
                  <c:v>23.5</c:v>
                </c:pt>
                <c:pt idx="3">
                  <c:v>23.7</c:v>
                </c:pt>
                <c:pt idx="4">
                  <c:v>23.8</c:v>
                </c:pt>
                <c:pt idx="5">
                  <c:v>24.2</c:v>
                </c:pt>
                <c:pt idx="6">
                  <c:v>24.3</c:v>
                </c:pt>
                <c:pt idx="7">
                  <c:v>24.7</c:v>
                </c:pt>
                <c:pt idx="8">
                  <c:v>24.9</c:v>
                </c:pt>
                <c:pt idx="9">
                  <c:v>25</c:v>
                </c:pt>
                <c:pt idx="10">
                  <c:v>25.2</c:v>
                </c:pt>
                <c:pt idx="11">
                  <c:v>25.4</c:v>
                </c:pt>
                <c:pt idx="12">
                  <c:v>25.5</c:v>
                </c:pt>
                <c:pt idx="13">
                  <c:v>25.7</c:v>
                </c:pt>
                <c:pt idx="14">
                  <c:v>25.9</c:v>
                </c:pt>
                <c:pt idx="15">
                  <c:v>26</c:v>
                </c:pt>
                <c:pt idx="16">
                  <c:v>26.1</c:v>
                </c:pt>
                <c:pt idx="17">
                  <c:v>26.2</c:v>
                </c:pt>
                <c:pt idx="18">
                  <c:v>26.3</c:v>
                </c:pt>
                <c:pt idx="19">
                  <c:v>26.4</c:v>
                </c:pt>
                <c:pt idx="20">
                  <c:v>26.4</c:v>
                </c:pt>
                <c:pt idx="21">
                  <c:v>26.6</c:v>
                </c:pt>
                <c:pt idx="22">
                  <c:v>27.1</c:v>
                </c:pt>
                <c:pt idx="23">
                  <c:v>27.1</c:v>
                </c:pt>
                <c:pt idx="24">
                  <c:v>27.3</c:v>
                </c:pt>
                <c:pt idx="25">
                  <c:v>27.3</c:v>
                </c:pt>
                <c:pt idx="26">
                  <c:v>27.5</c:v>
                </c:pt>
                <c:pt idx="27">
                  <c:v>27.5</c:v>
                </c:pt>
                <c:pt idx="28">
                  <c:v>27.7</c:v>
                </c:pt>
                <c:pt idx="29">
                  <c:v>27.9</c:v>
                </c:pt>
                <c:pt idx="30">
                  <c:v>28</c:v>
                </c:pt>
                <c:pt idx="31">
                  <c:v>28.6</c:v>
                </c:pt>
                <c:pt idx="32">
                  <c:v>28.8</c:v>
                </c:pt>
                <c:pt idx="33">
                  <c:v>29</c:v>
                </c:pt>
                <c:pt idx="34">
                  <c:v>30.4</c:v>
                </c:pt>
                <c:pt idx="35">
                  <c:v>30.5</c:v>
                </c:pt>
                <c:pt idx="36">
                  <c:v>30.8</c:v>
                </c:pt>
                <c:pt idx="37">
                  <c:v>30.9</c:v>
                </c:pt>
                <c:pt idx="38">
                  <c:v>31.5</c:v>
                </c:pt>
                <c:pt idx="39">
                  <c:v>31.5</c:v>
                </c:pt>
                <c:pt idx="40">
                  <c:v>31.6</c:v>
                </c:pt>
                <c:pt idx="41">
                  <c:v>31.7</c:v>
                </c:pt>
                <c:pt idx="42">
                  <c:v>31.9</c:v>
                </c:pt>
                <c:pt idx="43">
                  <c:v>32.1</c:v>
                </c:pt>
                <c:pt idx="44">
                  <c:v>32.4</c:v>
                </c:pt>
                <c:pt idx="45">
                  <c:v>32.5</c:v>
                </c:pt>
                <c:pt idx="46">
                  <c:v>32.5</c:v>
                </c:pt>
                <c:pt idx="47">
                  <c:v>32.799999999999997</c:v>
                </c:pt>
                <c:pt idx="48">
                  <c:v>33</c:v>
                </c:pt>
                <c:pt idx="49">
                  <c:v>33.200000000000003</c:v>
                </c:pt>
                <c:pt idx="50">
                  <c:v>33.200000000000003</c:v>
                </c:pt>
                <c:pt idx="51">
                  <c:v>33.5</c:v>
                </c:pt>
                <c:pt idx="52">
                  <c:v>33.5</c:v>
                </c:pt>
                <c:pt idx="53">
                  <c:v>33.6</c:v>
                </c:pt>
                <c:pt idx="54">
                  <c:v>33.700000000000003</c:v>
                </c:pt>
                <c:pt idx="55">
                  <c:v>34</c:v>
                </c:pt>
                <c:pt idx="56">
                  <c:v>34.299999999999997</c:v>
                </c:pt>
                <c:pt idx="57">
                  <c:v>34.299999999999997</c:v>
                </c:pt>
                <c:pt idx="58">
                  <c:v>34.5</c:v>
                </c:pt>
                <c:pt idx="59">
                  <c:v>34.6</c:v>
                </c:pt>
                <c:pt idx="60">
                  <c:v>34.700000000000003</c:v>
                </c:pt>
                <c:pt idx="61">
                  <c:v>34.799999999999997</c:v>
                </c:pt>
                <c:pt idx="62">
                  <c:v>35</c:v>
                </c:pt>
                <c:pt idx="63">
                  <c:v>35.200000000000003</c:v>
                </c:pt>
                <c:pt idx="64">
                  <c:v>35.9</c:v>
                </c:pt>
                <c:pt idx="65">
                  <c:v>36.200000000000003</c:v>
                </c:pt>
                <c:pt idx="66">
                  <c:v>36.4</c:v>
                </c:pt>
                <c:pt idx="67">
                  <c:v>40.799999999999997</c:v>
                </c:pt>
                <c:pt idx="68">
                  <c:v>41</c:v>
                </c:pt>
                <c:pt idx="69">
                  <c:v>41.4</c:v>
                </c:pt>
                <c:pt idx="70">
                  <c:v>41.6</c:v>
                </c:pt>
                <c:pt idx="71">
                  <c:v>41.6</c:v>
                </c:pt>
                <c:pt idx="72">
                  <c:v>41.9</c:v>
                </c:pt>
                <c:pt idx="73">
                  <c:v>42.1</c:v>
                </c:pt>
                <c:pt idx="74">
                  <c:v>42.4</c:v>
                </c:pt>
                <c:pt idx="75">
                  <c:v>42.5</c:v>
                </c:pt>
                <c:pt idx="76">
                  <c:v>42.6</c:v>
                </c:pt>
                <c:pt idx="77">
                  <c:v>42.8</c:v>
                </c:pt>
                <c:pt idx="78">
                  <c:v>42.8</c:v>
                </c:pt>
                <c:pt idx="79">
                  <c:v>43</c:v>
                </c:pt>
                <c:pt idx="80">
                  <c:v>43.2</c:v>
                </c:pt>
                <c:pt idx="81">
                  <c:v>43.4</c:v>
                </c:pt>
                <c:pt idx="82">
                  <c:v>43.7</c:v>
                </c:pt>
                <c:pt idx="83">
                  <c:v>43.9</c:v>
                </c:pt>
                <c:pt idx="84">
                  <c:v>44.1</c:v>
                </c:pt>
                <c:pt idx="85">
                  <c:v>44.2</c:v>
                </c:pt>
                <c:pt idx="86">
                  <c:v>44.3</c:v>
                </c:pt>
                <c:pt idx="87">
                  <c:v>44.4</c:v>
                </c:pt>
                <c:pt idx="88">
                  <c:v>45.2</c:v>
                </c:pt>
                <c:pt idx="89">
                  <c:v>45.5</c:v>
                </c:pt>
                <c:pt idx="90">
                  <c:v>45.8</c:v>
                </c:pt>
                <c:pt idx="91">
                  <c:v>47.8</c:v>
                </c:pt>
                <c:pt idx="92">
                  <c:v>48</c:v>
                </c:pt>
                <c:pt idx="93">
                  <c:v>48.4</c:v>
                </c:pt>
                <c:pt idx="94">
                  <c:v>48.5</c:v>
                </c:pt>
                <c:pt idx="95">
                  <c:v>48.7</c:v>
                </c:pt>
                <c:pt idx="96">
                  <c:v>48.7</c:v>
                </c:pt>
                <c:pt idx="97">
                  <c:v>49</c:v>
                </c:pt>
                <c:pt idx="98">
                  <c:v>49.4</c:v>
                </c:pt>
                <c:pt idx="99">
                  <c:v>49.7</c:v>
                </c:pt>
                <c:pt idx="100">
                  <c:v>49.7</c:v>
                </c:pt>
                <c:pt idx="101">
                  <c:v>49.7</c:v>
                </c:pt>
                <c:pt idx="102">
                  <c:v>49.9</c:v>
                </c:pt>
                <c:pt idx="103">
                  <c:v>50</c:v>
                </c:pt>
                <c:pt idx="104">
                  <c:v>50.1</c:v>
                </c:pt>
                <c:pt idx="105">
                  <c:v>50.3</c:v>
                </c:pt>
                <c:pt idx="106">
                  <c:v>50.7</c:v>
                </c:pt>
                <c:pt idx="107">
                  <c:v>51</c:v>
                </c:pt>
                <c:pt idx="108">
                  <c:v>51.1</c:v>
                </c:pt>
                <c:pt idx="109">
                  <c:v>51.4</c:v>
                </c:pt>
                <c:pt idx="110">
                  <c:v>51.4</c:v>
                </c:pt>
                <c:pt idx="111">
                  <c:v>51.7</c:v>
                </c:pt>
                <c:pt idx="112">
                  <c:v>52.4</c:v>
                </c:pt>
                <c:pt idx="113">
                  <c:v>52.8</c:v>
                </c:pt>
                <c:pt idx="114">
                  <c:v>53.1</c:v>
                </c:pt>
              </c:numCache>
            </c:numRef>
          </c:yVal>
          <c:smooth val="1"/>
          <c:extLst>
            <c:ext xmlns:c16="http://schemas.microsoft.com/office/drawing/2014/chart" uri="{C3380CC4-5D6E-409C-BE32-E72D297353CC}">
              <c16:uniqueId val="{00000000-9D4C-C94B-8EB2-ADCB2D2986D4}"/>
            </c:ext>
          </c:extLst>
        </c:ser>
        <c:ser>
          <c:idx val="1"/>
          <c:order val="1"/>
          <c:tx>
            <c:v>5%</c:v>
          </c:tx>
          <c:spPr>
            <a:ln w="19050" cap="rnd">
              <a:solidFill>
                <a:srgbClr val="355A95"/>
              </a:solidFill>
              <a:round/>
            </a:ln>
            <a:effectLst/>
          </c:spPr>
          <c:marker>
            <c:symbol val="none"/>
          </c:marker>
          <c:xVal>
            <c:numRef>
              <c:f>Error_Power!$B$3:$B$117</c:f>
              <c:numCache>
                <c:formatCode>General</c:formatCode>
                <c:ptCount val="115"/>
                <c:pt idx="0">
                  <c:v>15</c:v>
                </c:pt>
                <c:pt idx="1">
                  <c:v>23.4</c:v>
                </c:pt>
                <c:pt idx="2">
                  <c:v>23.5</c:v>
                </c:pt>
                <c:pt idx="3">
                  <c:v>23.7</c:v>
                </c:pt>
                <c:pt idx="4">
                  <c:v>23.8</c:v>
                </c:pt>
                <c:pt idx="5">
                  <c:v>24.2</c:v>
                </c:pt>
                <c:pt idx="6">
                  <c:v>24.3</c:v>
                </c:pt>
                <c:pt idx="7">
                  <c:v>24.7</c:v>
                </c:pt>
                <c:pt idx="8">
                  <c:v>24.9</c:v>
                </c:pt>
                <c:pt idx="9">
                  <c:v>25</c:v>
                </c:pt>
                <c:pt idx="10">
                  <c:v>25.2</c:v>
                </c:pt>
                <c:pt idx="11">
                  <c:v>25.4</c:v>
                </c:pt>
                <c:pt idx="12">
                  <c:v>25.5</c:v>
                </c:pt>
                <c:pt idx="13">
                  <c:v>25.7</c:v>
                </c:pt>
                <c:pt idx="14">
                  <c:v>25.9</c:v>
                </c:pt>
                <c:pt idx="15">
                  <c:v>26</c:v>
                </c:pt>
                <c:pt idx="16">
                  <c:v>26.1</c:v>
                </c:pt>
                <c:pt idx="17">
                  <c:v>26.2</c:v>
                </c:pt>
                <c:pt idx="18">
                  <c:v>26.3</c:v>
                </c:pt>
                <c:pt idx="19">
                  <c:v>26.4</c:v>
                </c:pt>
                <c:pt idx="20">
                  <c:v>26.4</c:v>
                </c:pt>
                <c:pt idx="21">
                  <c:v>26.6</c:v>
                </c:pt>
                <c:pt idx="22">
                  <c:v>27.1</c:v>
                </c:pt>
                <c:pt idx="23">
                  <c:v>27.1</c:v>
                </c:pt>
                <c:pt idx="24">
                  <c:v>27.3</c:v>
                </c:pt>
                <c:pt idx="25">
                  <c:v>27.3</c:v>
                </c:pt>
                <c:pt idx="26">
                  <c:v>27.5</c:v>
                </c:pt>
                <c:pt idx="27">
                  <c:v>27.5</c:v>
                </c:pt>
                <c:pt idx="28">
                  <c:v>27.7</c:v>
                </c:pt>
                <c:pt idx="29">
                  <c:v>27.9</c:v>
                </c:pt>
                <c:pt idx="30">
                  <c:v>28</c:v>
                </c:pt>
                <c:pt idx="31">
                  <c:v>28.6</c:v>
                </c:pt>
                <c:pt idx="32">
                  <c:v>28.8</c:v>
                </c:pt>
                <c:pt idx="33">
                  <c:v>29</c:v>
                </c:pt>
                <c:pt idx="34">
                  <c:v>30.4</c:v>
                </c:pt>
                <c:pt idx="35">
                  <c:v>30.5</c:v>
                </c:pt>
                <c:pt idx="36">
                  <c:v>30.8</c:v>
                </c:pt>
                <c:pt idx="37">
                  <c:v>30.9</c:v>
                </c:pt>
                <c:pt idx="38">
                  <c:v>31.5</c:v>
                </c:pt>
                <c:pt idx="39">
                  <c:v>31.5</c:v>
                </c:pt>
                <c:pt idx="40">
                  <c:v>31.6</c:v>
                </c:pt>
                <c:pt idx="41">
                  <c:v>31.7</c:v>
                </c:pt>
                <c:pt idx="42">
                  <c:v>31.9</c:v>
                </c:pt>
                <c:pt idx="43">
                  <c:v>32.1</c:v>
                </c:pt>
                <c:pt idx="44">
                  <c:v>32.4</c:v>
                </c:pt>
                <c:pt idx="45">
                  <c:v>32.5</c:v>
                </c:pt>
                <c:pt idx="46">
                  <c:v>32.5</c:v>
                </c:pt>
                <c:pt idx="47">
                  <c:v>32.799999999999997</c:v>
                </c:pt>
                <c:pt idx="48">
                  <c:v>33</c:v>
                </c:pt>
                <c:pt idx="49">
                  <c:v>33.200000000000003</c:v>
                </c:pt>
                <c:pt idx="50">
                  <c:v>33.200000000000003</c:v>
                </c:pt>
                <c:pt idx="51">
                  <c:v>33.5</c:v>
                </c:pt>
                <c:pt idx="52">
                  <c:v>33.5</c:v>
                </c:pt>
                <c:pt idx="53">
                  <c:v>33.6</c:v>
                </c:pt>
                <c:pt idx="54">
                  <c:v>33.700000000000003</c:v>
                </c:pt>
                <c:pt idx="55">
                  <c:v>34</c:v>
                </c:pt>
                <c:pt idx="56">
                  <c:v>34.299999999999997</c:v>
                </c:pt>
                <c:pt idx="57">
                  <c:v>34.299999999999997</c:v>
                </c:pt>
                <c:pt idx="58">
                  <c:v>34.5</c:v>
                </c:pt>
                <c:pt idx="59">
                  <c:v>34.6</c:v>
                </c:pt>
                <c:pt idx="60">
                  <c:v>34.700000000000003</c:v>
                </c:pt>
                <c:pt idx="61">
                  <c:v>34.799999999999997</c:v>
                </c:pt>
                <c:pt idx="62">
                  <c:v>35</c:v>
                </c:pt>
                <c:pt idx="63">
                  <c:v>35.200000000000003</c:v>
                </c:pt>
                <c:pt idx="64">
                  <c:v>35.9</c:v>
                </c:pt>
                <c:pt idx="65">
                  <c:v>36.200000000000003</c:v>
                </c:pt>
                <c:pt idx="66">
                  <c:v>36.4</c:v>
                </c:pt>
                <c:pt idx="67">
                  <c:v>40.799999999999997</c:v>
                </c:pt>
                <c:pt idx="68">
                  <c:v>41</c:v>
                </c:pt>
                <c:pt idx="69">
                  <c:v>41.4</c:v>
                </c:pt>
                <c:pt idx="70">
                  <c:v>41.6</c:v>
                </c:pt>
                <c:pt idx="71">
                  <c:v>41.6</c:v>
                </c:pt>
                <c:pt idx="72">
                  <c:v>41.9</c:v>
                </c:pt>
                <c:pt idx="73">
                  <c:v>42.1</c:v>
                </c:pt>
                <c:pt idx="74">
                  <c:v>42.4</c:v>
                </c:pt>
                <c:pt idx="75">
                  <c:v>42.5</c:v>
                </c:pt>
                <c:pt idx="76">
                  <c:v>42.6</c:v>
                </c:pt>
                <c:pt idx="77">
                  <c:v>42.8</c:v>
                </c:pt>
                <c:pt idx="78">
                  <c:v>42.8</c:v>
                </c:pt>
                <c:pt idx="79">
                  <c:v>43</c:v>
                </c:pt>
                <c:pt idx="80">
                  <c:v>43.2</c:v>
                </c:pt>
                <c:pt idx="81">
                  <c:v>43.4</c:v>
                </c:pt>
                <c:pt idx="82">
                  <c:v>43.7</c:v>
                </c:pt>
                <c:pt idx="83">
                  <c:v>43.9</c:v>
                </c:pt>
                <c:pt idx="84">
                  <c:v>44.1</c:v>
                </c:pt>
                <c:pt idx="85">
                  <c:v>44.2</c:v>
                </c:pt>
                <c:pt idx="86">
                  <c:v>44.3</c:v>
                </c:pt>
                <c:pt idx="87">
                  <c:v>44.4</c:v>
                </c:pt>
                <c:pt idx="88">
                  <c:v>45.2</c:v>
                </c:pt>
                <c:pt idx="89">
                  <c:v>45.5</c:v>
                </c:pt>
                <c:pt idx="90">
                  <c:v>45.8</c:v>
                </c:pt>
                <c:pt idx="91">
                  <c:v>47.8</c:v>
                </c:pt>
                <c:pt idx="92">
                  <c:v>48</c:v>
                </c:pt>
                <c:pt idx="93">
                  <c:v>48.4</c:v>
                </c:pt>
                <c:pt idx="94">
                  <c:v>48.5</c:v>
                </c:pt>
                <c:pt idx="95">
                  <c:v>48.7</c:v>
                </c:pt>
                <c:pt idx="96">
                  <c:v>48.7</c:v>
                </c:pt>
                <c:pt idx="97">
                  <c:v>49</c:v>
                </c:pt>
                <c:pt idx="98">
                  <c:v>49.4</c:v>
                </c:pt>
                <c:pt idx="99">
                  <c:v>49.7</c:v>
                </c:pt>
                <c:pt idx="100">
                  <c:v>49.7</c:v>
                </c:pt>
                <c:pt idx="101">
                  <c:v>49.7</c:v>
                </c:pt>
                <c:pt idx="102">
                  <c:v>49.9</c:v>
                </c:pt>
                <c:pt idx="103">
                  <c:v>50</c:v>
                </c:pt>
                <c:pt idx="104">
                  <c:v>50.1</c:v>
                </c:pt>
                <c:pt idx="105">
                  <c:v>50.3</c:v>
                </c:pt>
                <c:pt idx="106">
                  <c:v>50.7</c:v>
                </c:pt>
                <c:pt idx="107">
                  <c:v>51</c:v>
                </c:pt>
                <c:pt idx="108">
                  <c:v>51.1</c:v>
                </c:pt>
                <c:pt idx="109">
                  <c:v>51.4</c:v>
                </c:pt>
                <c:pt idx="110">
                  <c:v>51.4</c:v>
                </c:pt>
                <c:pt idx="111">
                  <c:v>51.7</c:v>
                </c:pt>
                <c:pt idx="112">
                  <c:v>52.4</c:v>
                </c:pt>
                <c:pt idx="113">
                  <c:v>52.8</c:v>
                </c:pt>
                <c:pt idx="114">
                  <c:v>53.1</c:v>
                </c:pt>
              </c:numCache>
            </c:numRef>
          </c:xVal>
          <c:yVal>
            <c:numRef>
              <c:f>Error_Power!$D$3:$D$117</c:f>
              <c:numCache>
                <c:formatCode>General</c:formatCode>
                <c:ptCount val="115"/>
                <c:pt idx="0">
                  <c:v>15</c:v>
                </c:pt>
                <c:pt idx="1">
                  <c:v>24.57</c:v>
                </c:pt>
                <c:pt idx="2">
                  <c:v>24.675000000000001</c:v>
                </c:pt>
                <c:pt idx="3">
                  <c:v>24.884999999999998</c:v>
                </c:pt>
                <c:pt idx="4">
                  <c:v>24.990000000000002</c:v>
                </c:pt>
                <c:pt idx="5">
                  <c:v>25.41</c:v>
                </c:pt>
                <c:pt idx="6">
                  <c:v>25.515000000000001</c:v>
                </c:pt>
                <c:pt idx="7">
                  <c:v>25.934999999999999</c:v>
                </c:pt>
                <c:pt idx="8">
                  <c:v>26.145</c:v>
                </c:pt>
                <c:pt idx="9">
                  <c:v>26.25</c:v>
                </c:pt>
                <c:pt idx="10">
                  <c:v>26.46</c:v>
                </c:pt>
                <c:pt idx="11">
                  <c:v>26.669999999999998</c:v>
                </c:pt>
                <c:pt idx="12">
                  <c:v>26.774999999999999</c:v>
                </c:pt>
                <c:pt idx="13">
                  <c:v>26.984999999999999</c:v>
                </c:pt>
                <c:pt idx="14">
                  <c:v>27.195</c:v>
                </c:pt>
                <c:pt idx="15">
                  <c:v>27.3</c:v>
                </c:pt>
                <c:pt idx="16">
                  <c:v>27.405000000000001</c:v>
                </c:pt>
                <c:pt idx="17">
                  <c:v>27.509999999999998</c:v>
                </c:pt>
                <c:pt idx="18">
                  <c:v>27.615000000000002</c:v>
                </c:pt>
                <c:pt idx="19">
                  <c:v>27.72</c:v>
                </c:pt>
                <c:pt idx="20">
                  <c:v>27.72</c:v>
                </c:pt>
                <c:pt idx="21">
                  <c:v>27.93</c:v>
                </c:pt>
                <c:pt idx="22">
                  <c:v>28.455000000000002</c:v>
                </c:pt>
                <c:pt idx="23">
                  <c:v>28.455000000000002</c:v>
                </c:pt>
                <c:pt idx="24">
                  <c:v>28.664999999999999</c:v>
                </c:pt>
                <c:pt idx="25">
                  <c:v>28.664999999999999</c:v>
                </c:pt>
                <c:pt idx="26">
                  <c:v>28.875</c:v>
                </c:pt>
                <c:pt idx="27">
                  <c:v>28.875</c:v>
                </c:pt>
                <c:pt idx="28">
                  <c:v>29.085000000000001</c:v>
                </c:pt>
                <c:pt idx="29">
                  <c:v>29.294999999999998</c:v>
                </c:pt>
                <c:pt idx="30">
                  <c:v>29.4</c:v>
                </c:pt>
                <c:pt idx="31">
                  <c:v>30.03</c:v>
                </c:pt>
                <c:pt idx="32">
                  <c:v>30.240000000000002</c:v>
                </c:pt>
                <c:pt idx="33">
                  <c:v>30.45</c:v>
                </c:pt>
                <c:pt idx="34">
                  <c:v>31.919999999999998</c:v>
                </c:pt>
                <c:pt idx="35">
                  <c:v>32.024999999999999</c:v>
                </c:pt>
                <c:pt idx="36">
                  <c:v>32.340000000000003</c:v>
                </c:pt>
                <c:pt idx="37">
                  <c:v>32.445</c:v>
                </c:pt>
                <c:pt idx="38">
                  <c:v>33.075000000000003</c:v>
                </c:pt>
                <c:pt idx="39">
                  <c:v>33.075000000000003</c:v>
                </c:pt>
                <c:pt idx="40">
                  <c:v>33.18</c:v>
                </c:pt>
                <c:pt idx="41">
                  <c:v>33.284999999999997</c:v>
                </c:pt>
                <c:pt idx="42">
                  <c:v>33.494999999999997</c:v>
                </c:pt>
                <c:pt idx="43">
                  <c:v>33.704999999999998</c:v>
                </c:pt>
                <c:pt idx="44">
                  <c:v>34.019999999999996</c:v>
                </c:pt>
                <c:pt idx="45">
                  <c:v>34.125</c:v>
                </c:pt>
                <c:pt idx="46">
                  <c:v>34.125</c:v>
                </c:pt>
                <c:pt idx="47">
                  <c:v>34.44</c:v>
                </c:pt>
                <c:pt idx="48">
                  <c:v>34.65</c:v>
                </c:pt>
                <c:pt idx="49">
                  <c:v>34.86</c:v>
                </c:pt>
                <c:pt idx="50">
                  <c:v>34.86</c:v>
                </c:pt>
                <c:pt idx="51">
                  <c:v>35.174999999999997</c:v>
                </c:pt>
                <c:pt idx="52">
                  <c:v>35.174999999999997</c:v>
                </c:pt>
                <c:pt idx="53">
                  <c:v>35.28</c:v>
                </c:pt>
                <c:pt idx="54">
                  <c:v>35.385000000000005</c:v>
                </c:pt>
                <c:pt idx="55">
                  <c:v>35.700000000000003</c:v>
                </c:pt>
                <c:pt idx="56">
                  <c:v>36.015000000000001</c:v>
                </c:pt>
                <c:pt idx="57">
                  <c:v>36.015000000000001</c:v>
                </c:pt>
                <c:pt idx="58">
                  <c:v>36.225000000000001</c:v>
                </c:pt>
                <c:pt idx="59">
                  <c:v>36.33</c:v>
                </c:pt>
                <c:pt idx="60">
                  <c:v>36.435000000000002</c:v>
                </c:pt>
                <c:pt idx="61">
                  <c:v>36.54</c:v>
                </c:pt>
                <c:pt idx="62">
                  <c:v>36.75</c:v>
                </c:pt>
                <c:pt idx="63">
                  <c:v>36.96</c:v>
                </c:pt>
                <c:pt idx="64">
                  <c:v>37.695</c:v>
                </c:pt>
                <c:pt idx="65">
                  <c:v>38.010000000000005</c:v>
                </c:pt>
                <c:pt idx="66">
                  <c:v>38.22</c:v>
                </c:pt>
                <c:pt idx="67">
                  <c:v>42.839999999999996</c:v>
                </c:pt>
                <c:pt idx="68">
                  <c:v>43.05</c:v>
                </c:pt>
                <c:pt idx="69">
                  <c:v>43.47</c:v>
                </c:pt>
                <c:pt idx="70">
                  <c:v>43.68</c:v>
                </c:pt>
                <c:pt idx="71">
                  <c:v>43.68</c:v>
                </c:pt>
                <c:pt idx="72">
                  <c:v>43.994999999999997</c:v>
                </c:pt>
                <c:pt idx="73">
                  <c:v>44.204999999999998</c:v>
                </c:pt>
                <c:pt idx="74">
                  <c:v>44.519999999999996</c:v>
                </c:pt>
                <c:pt idx="75">
                  <c:v>44.625</c:v>
                </c:pt>
                <c:pt idx="76">
                  <c:v>44.730000000000004</c:v>
                </c:pt>
                <c:pt idx="77">
                  <c:v>44.94</c:v>
                </c:pt>
                <c:pt idx="78">
                  <c:v>44.94</c:v>
                </c:pt>
                <c:pt idx="79">
                  <c:v>45.15</c:v>
                </c:pt>
                <c:pt idx="80">
                  <c:v>45.36</c:v>
                </c:pt>
                <c:pt idx="81">
                  <c:v>45.57</c:v>
                </c:pt>
                <c:pt idx="82">
                  <c:v>45.885000000000005</c:v>
                </c:pt>
                <c:pt idx="83">
                  <c:v>46.094999999999999</c:v>
                </c:pt>
                <c:pt idx="84">
                  <c:v>46.305</c:v>
                </c:pt>
                <c:pt idx="85">
                  <c:v>46.410000000000004</c:v>
                </c:pt>
                <c:pt idx="86">
                  <c:v>46.515000000000001</c:v>
                </c:pt>
                <c:pt idx="87">
                  <c:v>46.62</c:v>
                </c:pt>
                <c:pt idx="88">
                  <c:v>47.46</c:v>
                </c:pt>
                <c:pt idx="89">
                  <c:v>47.774999999999999</c:v>
                </c:pt>
                <c:pt idx="90">
                  <c:v>48.089999999999996</c:v>
                </c:pt>
                <c:pt idx="91">
                  <c:v>50.19</c:v>
                </c:pt>
                <c:pt idx="92">
                  <c:v>50.4</c:v>
                </c:pt>
                <c:pt idx="93">
                  <c:v>50.82</c:v>
                </c:pt>
                <c:pt idx="94">
                  <c:v>50.924999999999997</c:v>
                </c:pt>
                <c:pt idx="95">
                  <c:v>51.135000000000005</c:v>
                </c:pt>
                <c:pt idx="96">
                  <c:v>51.135000000000005</c:v>
                </c:pt>
                <c:pt idx="97">
                  <c:v>51.45</c:v>
                </c:pt>
                <c:pt idx="98">
                  <c:v>51.87</c:v>
                </c:pt>
                <c:pt idx="99">
                  <c:v>52.185000000000002</c:v>
                </c:pt>
                <c:pt idx="100">
                  <c:v>52.185000000000002</c:v>
                </c:pt>
                <c:pt idx="101">
                  <c:v>52.185000000000002</c:v>
                </c:pt>
                <c:pt idx="102">
                  <c:v>52.394999999999996</c:v>
                </c:pt>
                <c:pt idx="103">
                  <c:v>52.5</c:v>
                </c:pt>
                <c:pt idx="104">
                  <c:v>52.605000000000004</c:v>
                </c:pt>
                <c:pt idx="105">
                  <c:v>52.814999999999998</c:v>
                </c:pt>
                <c:pt idx="106">
                  <c:v>53.234999999999999</c:v>
                </c:pt>
                <c:pt idx="107">
                  <c:v>53.55</c:v>
                </c:pt>
                <c:pt idx="108">
                  <c:v>53.655000000000001</c:v>
                </c:pt>
                <c:pt idx="109">
                  <c:v>53.97</c:v>
                </c:pt>
                <c:pt idx="110">
                  <c:v>53.97</c:v>
                </c:pt>
                <c:pt idx="111">
                  <c:v>54.285000000000004</c:v>
                </c:pt>
                <c:pt idx="112">
                  <c:v>55.019999999999996</c:v>
                </c:pt>
                <c:pt idx="113">
                  <c:v>55.44</c:v>
                </c:pt>
                <c:pt idx="114">
                  <c:v>55.755000000000003</c:v>
                </c:pt>
              </c:numCache>
            </c:numRef>
          </c:yVal>
          <c:smooth val="1"/>
          <c:extLst>
            <c:ext xmlns:c16="http://schemas.microsoft.com/office/drawing/2014/chart" uri="{C3380CC4-5D6E-409C-BE32-E72D297353CC}">
              <c16:uniqueId val="{00000001-9D4C-C94B-8EB2-ADCB2D2986D4}"/>
            </c:ext>
          </c:extLst>
        </c:ser>
        <c:ser>
          <c:idx val="2"/>
          <c:order val="2"/>
          <c:tx>
            <c:v>-5%</c:v>
          </c:tx>
          <c:spPr>
            <a:ln w="19050" cap="rnd">
              <a:solidFill>
                <a:srgbClr val="355A95"/>
              </a:solidFill>
              <a:round/>
            </a:ln>
            <a:effectLst/>
          </c:spPr>
          <c:marker>
            <c:symbol val="none"/>
          </c:marker>
          <c:xVal>
            <c:numRef>
              <c:f>Error_Power!$B$3:$B$117</c:f>
              <c:numCache>
                <c:formatCode>General</c:formatCode>
                <c:ptCount val="115"/>
                <c:pt idx="0">
                  <c:v>15</c:v>
                </c:pt>
                <c:pt idx="1">
                  <c:v>23.4</c:v>
                </c:pt>
                <c:pt idx="2">
                  <c:v>23.5</c:v>
                </c:pt>
                <c:pt idx="3">
                  <c:v>23.7</c:v>
                </c:pt>
                <c:pt idx="4">
                  <c:v>23.8</c:v>
                </c:pt>
                <c:pt idx="5">
                  <c:v>24.2</c:v>
                </c:pt>
                <c:pt idx="6">
                  <c:v>24.3</c:v>
                </c:pt>
                <c:pt idx="7">
                  <c:v>24.7</c:v>
                </c:pt>
                <c:pt idx="8">
                  <c:v>24.9</c:v>
                </c:pt>
                <c:pt idx="9">
                  <c:v>25</c:v>
                </c:pt>
                <c:pt idx="10">
                  <c:v>25.2</c:v>
                </c:pt>
                <c:pt idx="11">
                  <c:v>25.4</c:v>
                </c:pt>
                <c:pt idx="12">
                  <c:v>25.5</c:v>
                </c:pt>
                <c:pt idx="13">
                  <c:v>25.7</c:v>
                </c:pt>
                <c:pt idx="14">
                  <c:v>25.9</c:v>
                </c:pt>
                <c:pt idx="15">
                  <c:v>26</c:v>
                </c:pt>
                <c:pt idx="16">
                  <c:v>26.1</c:v>
                </c:pt>
                <c:pt idx="17">
                  <c:v>26.2</c:v>
                </c:pt>
                <c:pt idx="18">
                  <c:v>26.3</c:v>
                </c:pt>
                <c:pt idx="19">
                  <c:v>26.4</c:v>
                </c:pt>
                <c:pt idx="20">
                  <c:v>26.4</c:v>
                </c:pt>
                <c:pt idx="21">
                  <c:v>26.6</c:v>
                </c:pt>
                <c:pt idx="22">
                  <c:v>27.1</c:v>
                </c:pt>
                <c:pt idx="23">
                  <c:v>27.1</c:v>
                </c:pt>
                <c:pt idx="24">
                  <c:v>27.3</c:v>
                </c:pt>
                <c:pt idx="25">
                  <c:v>27.3</c:v>
                </c:pt>
                <c:pt idx="26">
                  <c:v>27.5</c:v>
                </c:pt>
                <c:pt idx="27">
                  <c:v>27.5</c:v>
                </c:pt>
                <c:pt idx="28">
                  <c:v>27.7</c:v>
                </c:pt>
                <c:pt idx="29">
                  <c:v>27.9</c:v>
                </c:pt>
                <c:pt idx="30">
                  <c:v>28</c:v>
                </c:pt>
                <c:pt idx="31">
                  <c:v>28.6</c:v>
                </c:pt>
                <c:pt idx="32">
                  <c:v>28.8</c:v>
                </c:pt>
                <c:pt idx="33">
                  <c:v>29</c:v>
                </c:pt>
                <c:pt idx="34">
                  <c:v>30.4</c:v>
                </c:pt>
                <c:pt idx="35">
                  <c:v>30.5</c:v>
                </c:pt>
                <c:pt idx="36">
                  <c:v>30.8</c:v>
                </c:pt>
                <c:pt idx="37">
                  <c:v>30.9</c:v>
                </c:pt>
                <c:pt idx="38">
                  <c:v>31.5</c:v>
                </c:pt>
                <c:pt idx="39">
                  <c:v>31.5</c:v>
                </c:pt>
                <c:pt idx="40">
                  <c:v>31.6</c:v>
                </c:pt>
                <c:pt idx="41">
                  <c:v>31.7</c:v>
                </c:pt>
                <c:pt idx="42">
                  <c:v>31.9</c:v>
                </c:pt>
                <c:pt idx="43">
                  <c:v>32.1</c:v>
                </c:pt>
                <c:pt idx="44">
                  <c:v>32.4</c:v>
                </c:pt>
                <c:pt idx="45">
                  <c:v>32.5</c:v>
                </c:pt>
                <c:pt idx="46">
                  <c:v>32.5</c:v>
                </c:pt>
                <c:pt idx="47">
                  <c:v>32.799999999999997</c:v>
                </c:pt>
                <c:pt idx="48">
                  <c:v>33</c:v>
                </c:pt>
                <c:pt idx="49">
                  <c:v>33.200000000000003</c:v>
                </c:pt>
                <c:pt idx="50">
                  <c:v>33.200000000000003</c:v>
                </c:pt>
                <c:pt idx="51">
                  <c:v>33.5</c:v>
                </c:pt>
                <c:pt idx="52">
                  <c:v>33.5</c:v>
                </c:pt>
                <c:pt idx="53">
                  <c:v>33.6</c:v>
                </c:pt>
                <c:pt idx="54">
                  <c:v>33.700000000000003</c:v>
                </c:pt>
                <c:pt idx="55">
                  <c:v>34</c:v>
                </c:pt>
                <c:pt idx="56">
                  <c:v>34.299999999999997</c:v>
                </c:pt>
                <c:pt idx="57">
                  <c:v>34.299999999999997</c:v>
                </c:pt>
                <c:pt idx="58">
                  <c:v>34.5</c:v>
                </c:pt>
                <c:pt idx="59">
                  <c:v>34.6</c:v>
                </c:pt>
                <c:pt idx="60">
                  <c:v>34.700000000000003</c:v>
                </c:pt>
                <c:pt idx="61">
                  <c:v>34.799999999999997</c:v>
                </c:pt>
                <c:pt idx="62">
                  <c:v>35</c:v>
                </c:pt>
                <c:pt idx="63">
                  <c:v>35.200000000000003</c:v>
                </c:pt>
                <c:pt idx="64">
                  <c:v>35.9</c:v>
                </c:pt>
                <c:pt idx="65">
                  <c:v>36.200000000000003</c:v>
                </c:pt>
                <c:pt idx="66">
                  <c:v>36.4</c:v>
                </c:pt>
                <c:pt idx="67">
                  <c:v>40.799999999999997</c:v>
                </c:pt>
                <c:pt idx="68">
                  <c:v>41</c:v>
                </c:pt>
                <c:pt idx="69">
                  <c:v>41.4</c:v>
                </c:pt>
                <c:pt idx="70">
                  <c:v>41.6</c:v>
                </c:pt>
                <c:pt idx="71">
                  <c:v>41.6</c:v>
                </c:pt>
                <c:pt idx="72">
                  <c:v>41.9</c:v>
                </c:pt>
                <c:pt idx="73">
                  <c:v>42.1</c:v>
                </c:pt>
                <c:pt idx="74">
                  <c:v>42.4</c:v>
                </c:pt>
                <c:pt idx="75">
                  <c:v>42.5</c:v>
                </c:pt>
                <c:pt idx="76">
                  <c:v>42.6</c:v>
                </c:pt>
                <c:pt idx="77">
                  <c:v>42.8</c:v>
                </c:pt>
                <c:pt idx="78">
                  <c:v>42.8</c:v>
                </c:pt>
                <c:pt idx="79">
                  <c:v>43</c:v>
                </c:pt>
                <c:pt idx="80">
                  <c:v>43.2</c:v>
                </c:pt>
                <c:pt idx="81">
                  <c:v>43.4</c:v>
                </c:pt>
                <c:pt idx="82">
                  <c:v>43.7</c:v>
                </c:pt>
                <c:pt idx="83">
                  <c:v>43.9</c:v>
                </c:pt>
                <c:pt idx="84">
                  <c:v>44.1</c:v>
                </c:pt>
                <c:pt idx="85">
                  <c:v>44.2</c:v>
                </c:pt>
                <c:pt idx="86">
                  <c:v>44.3</c:v>
                </c:pt>
                <c:pt idx="87">
                  <c:v>44.4</c:v>
                </c:pt>
                <c:pt idx="88">
                  <c:v>45.2</c:v>
                </c:pt>
                <c:pt idx="89">
                  <c:v>45.5</c:v>
                </c:pt>
                <c:pt idx="90">
                  <c:v>45.8</c:v>
                </c:pt>
                <c:pt idx="91">
                  <c:v>47.8</c:v>
                </c:pt>
                <c:pt idx="92">
                  <c:v>48</c:v>
                </c:pt>
                <c:pt idx="93">
                  <c:v>48.4</c:v>
                </c:pt>
                <c:pt idx="94">
                  <c:v>48.5</c:v>
                </c:pt>
                <c:pt idx="95">
                  <c:v>48.7</c:v>
                </c:pt>
                <c:pt idx="96">
                  <c:v>48.7</c:v>
                </c:pt>
                <c:pt idx="97">
                  <c:v>49</c:v>
                </c:pt>
                <c:pt idx="98">
                  <c:v>49.4</c:v>
                </c:pt>
                <c:pt idx="99">
                  <c:v>49.7</c:v>
                </c:pt>
                <c:pt idx="100">
                  <c:v>49.7</c:v>
                </c:pt>
                <c:pt idx="101">
                  <c:v>49.7</c:v>
                </c:pt>
                <c:pt idx="102">
                  <c:v>49.9</c:v>
                </c:pt>
                <c:pt idx="103">
                  <c:v>50</c:v>
                </c:pt>
                <c:pt idx="104">
                  <c:v>50.1</c:v>
                </c:pt>
                <c:pt idx="105">
                  <c:v>50.3</c:v>
                </c:pt>
                <c:pt idx="106">
                  <c:v>50.7</c:v>
                </c:pt>
                <c:pt idx="107">
                  <c:v>51</c:v>
                </c:pt>
                <c:pt idx="108">
                  <c:v>51.1</c:v>
                </c:pt>
                <c:pt idx="109">
                  <c:v>51.4</c:v>
                </c:pt>
                <c:pt idx="110">
                  <c:v>51.4</c:v>
                </c:pt>
                <c:pt idx="111">
                  <c:v>51.7</c:v>
                </c:pt>
                <c:pt idx="112">
                  <c:v>52.4</c:v>
                </c:pt>
                <c:pt idx="113">
                  <c:v>52.8</c:v>
                </c:pt>
                <c:pt idx="114">
                  <c:v>53.1</c:v>
                </c:pt>
              </c:numCache>
            </c:numRef>
          </c:xVal>
          <c:yVal>
            <c:numRef>
              <c:f>Error_Power!$E$3:$E$117</c:f>
              <c:numCache>
                <c:formatCode>General</c:formatCode>
                <c:ptCount val="115"/>
                <c:pt idx="0">
                  <c:v>15</c:v>
                </c:pt>
                <c:pt idx="1">
                  <c:v>22.229999999999997</c:v>
                </c:pt>
                <c:pt idx="2">
                  <c:v>22.324999999999999</c:v>
                </c:pt>
                <c:pt idx="3">
                  <c:v>22.515000000000001</c:v>
                </c:pt>
                <c:pt idx="4">
                  <c:v>22.61</c:v>
                </c:pt>
                <c:pt idx="5">
                  <c:v>22.99</c:v>
                </c:pt>
                <c:pt idx="6">
                  <c:v>23.085000000000001</c:v>
                </c:pt>
                <c:pt idx="7">
                  <c:v>23.465</c:v>
                </c:pt>
                <c:pt idx="8">
                  <c:v>23.654999999999998</c:v>
                </c:pt>
                <c:pt idx="9">
                  <c:v>23.75</c:v>
                </c:pt>
                <c:pt idx="10">
                  <c:v>23.939999999999998</c:v>
                </c:pt>
                <c:pt idx="11">
                  <c:v>24.13</c:v>
                </c:pt>
                <c:pt idx="12">
                  <c:v>24.225000000000001</c:v>
                </c:pt>
                <c:pt idx="13">
                  <c:v>24.414999999999999</c:v>
                </c:pt>
                <c:pt idx="14">
                  <c:v>24.604999999999997</c:v>
                </c:pt>
                <c:pt idx="15">
                  <c:v>24.7</c:v>
                </c:pt>
                <c:pt idx="16">
                  <c:v>24.795000000000002</c:v>
                </c:pt>
                <c:pt idx="17">
                  <c:v>24.89</c:v>
                </c:pt>
                <c:pt idx="18">
                  <c:v>24.984999999999999</c:v>
                </c:pt>
                <c:pt idx="19">
                  <c:v>25.08</c:v>
                </c:pt>
                <c:pt idx="20">
                  <c:v>25.08</c:v>
                </c:pt>
                <c:pt idx="21">
                  <c:v>25.270000000000003</c:v>
                </c:pt>
                <c:pt idx="22">
                  <c:v>25.745000000000001</c:v>
                </c:pt>
                <c:pt idx="23">
                  <c:v>25.745000000000001</c:v>
                </c:pt>
                <c:pt idx="24">
                  <c:v>25.935000000000002</c:v>
                </c:pt>
                <c:pt idx="25">
                  <c:v>25.935000000000002</c:v>
                </c:pt>
                <c:pt idx="26">
                  <c:v>26.125</c:v>
                </c:pt>
                <c:pt idx="27">
                  <c:v>26.125</c:v>
                </c:pt>
                <c:pt idx="28">
                  <c:v>26.314999999999998</c:v>
                </c:pt>
                <c:pt idx="29">
                  <c:v>26.504999999999999</c:v>
                </c:pt>
                <c:pt idx="30">
                  <c:v>26.6</c:v>
                </c:pt>
                <c:pt idx="31">
                  <c:v>27.17</c:v>
                </c:pt>
                <c:pt idx="32">
                  <c:v>27.36</c:v>
                </c:pt>
                <c:pt idx="33">
                  <c:v>27.55</c:v>
                </c:pt>
                <c:pt idx="34">
                  <c:v>28.88</c:v>
                </c:pt>
                <c:pt idx="35">
                  <c:v>28.975000000000001</c:v>
                </c:pt>
                <c:pt idx="36">
                  <c:v>29.26</c:v>
                </c:pt>
                <c:pt idx="37">
                  <c:v>29.354999999999997</c:v>
                </c:pt>
                <c:pt idx="38">
                  <c:v>29.925000000000001</c:v>
                </c:pt>
                <c:pt idx="39">
                  <c:v>29.925000000000001</c:v>
                </c:pt>
                <c:pt idx="40">
                  <c:v>30.020000000000003</c:v>
                </c:pt>
                <c:pt idx="41">
                  <c:v>30.114999999999998</c:v>
                </c:pt>
                <c:pt idx="42">
                  <c:v>30.305</c:v>
                </c:pt>
                <c:pt idx="43">
                  <c:v>30.495000000000001</c:v>
                </c:pt>
                <c:pt idx="44">
                  <c:v>30.779999999999998</c:v>
                </c:pt>
                <c:pt idx="45">
                  <c:v>30.875</c:v>
                </c:pt>
                <c:pt idx="46">
                  <c:v>30.875</c:v>
                </c:pt>
                <c:pt idx="47">
                  <c:v>31.159999999999997</c:v>
                </c:pt>
                <c:pt idx="48">
                  <c:v>31.35</c:v>
                </c:pt>
                <c:pt idx="49">
                  <c:v>31.540000000000003</c:v>
                </c:pt>
                <c:pt idx="50">
                  <c:v>31.540000000000003</c:v>
                </c:pt>
                <c:pt idx="51">
                  <c:v>31.824999999999999</c:v>
                </c:pt>
                <c:pt idx="52">
                  <c:v>31.824999999999999</c:v>
                </c:pt>
                <c:pt idx="53">
                  <c:v>31.92</c:v>
                </c:pt>
                <c:pt idx="54">
                  <c:v>32.015000000000001</c:v>
                </c:pt>
                <c:pt idx="55">
                  <c:v>32.299999999999997</c:v>
                </c:pt>
                <c:pt idx="56">
                  <c:v>32.584999999999994</c:v>
                </c:pt>
                <c:pt idx="57">
                  <c:v>32.584999999999994</c:v>
                </c:pt>
                <c:pt idx="58">
                  <c:v>32.774999999999999</c:v>
                </c:pt>
                <c:pt idx="59">
                  <c:v>32.870000000000005</c:v>
                </c:pt>
                <c:pt idx="60">
                  <c:v>32.965000000000003</c:v>
                </c:pt>
                <c:pt idx="61">
                  <c:v>33.059999999999995</c:v>
                </c:pt>
                <c:pt idx="62">
                  <c:v>33.25</c:v>
                </c:pt>
                <c:pt idx="63">
                  <c:v>33.440000000000005</c:v>
                </c:pt>
                <c:pt idx="64">
                  <c:v>34.104999999999997</c:v>
                </c:pt>
                <c:pt idx="65">
                  <c:v>34.39</c:v>
                </c:pt>
                <c:pt idx="66">
                  <c:v>34.58</c:v>
                </c:pt>
                <c:pt idx="67">
                  <c:v>38.76</c:v>
                </c:pt>
                <c:pt idx="68">
                  <c:v>38.950000000000003</c:v>
                </c:pt>
                <c:pt idx="69">
                  <c:v>39.33</c:v>
                </c:pt>
                <c:pt idx="70">
                  <c:v>39.520000000000003</c:v>
                </c:pt>
                <c:pt idx="71">
                  <c:v>39.520000000000003</c:v>
                </c:pt>
                <c:pt idx="72">
                  <c:v>39.805</c:v>
                </c:pt>
                <c:pt idx="73">
                  <c:v>39.995000000000005</c:v>
                </c:pt>
                <c:pt idx="74">
                  <c:v>40.28</c:v>
                </c:pt>
                <c:pt idx="75">
                  <c:v>40.375</c:v>
                </c:pt>
                <c:pt idx="76">
                  <c:v>40.47</c:v>
                </c:pt>
                <c:pt idx="77">
                  <c:v>40.659999999999997</c:v>
                </c:pt>
                <c:pt idx="78">
                  <c:v>40.659999999999997</c:v>
                </c:pt>
                <c:pt idx="79">
                  <c:v>40.85</c:v>
                </c:pt>
                <c:pt idx="80">
                  <c:v>41.040000000000006</c:v>
                </c:pt>
                <c:pt idx="81">
                  <c:v>41.23</c:v>
                </c:pt>
                <c:pt idx="82">
                  <c:v>41.515000000000001</c:v>
                </c:pt>
                <c:pt idx="83">
                  <c:v>41.704999999999998</c:v>
                </c:pt>
                <c:pt idx="84">
                  <c:v>41.895000000000003</c:v>
                </c:pt>
                <c:pt idx="85">
                  <c:v>41.99</c:v>
                </c:pt>
                <c:pt idx="86">
                  <c:v>42.084999999999994</c:v>
                </c:pt>
                <c:pt idx="87">
                  <c:v>42.18</c:v>
                </c:pt>
                <c:pt idx="88">
                  <c:v>42.940000000000005</c:v>
                </c:pt>
                <c:pt idx="89">
                  <c:v>43.225000000000001</c:v>
                </c:pt>
                <c:pt idx="90">
                  <c:v>43.51</c:v>
                </c:pt>
                <c:pt idx="91">
                  <c:v>45.41</c:v>
                </c:pt>
                <c:pt idx="92">
                  <c:v>45.6</c:v>
                </c:pt>
                <c:pt idx="93">
                  <c:v>45.98</c:v>
                </c:pt>
                <c:pt idx="94">
                  <c:v>46.075000000000003</c:v>
                </c:pt>
                <c:pt idx="95">
                  <c:v>46.265000000000001</c:v>
                </c:pt>
                <c:pt idx="96">
                  <c:v>46.265000000000001</c:v>
                </c:pt>
                <c:pt idx="97">
                  <c:v>46.55</c:v>
                </c:pt>
                <c:pt idx="98">
                  <c:v>46.93</c:v>
                </c:pt>
                <c:pt idx="99">
                  <c:v>47.215000000000003</c:v>
                </c:pt>
                <c:pt idx="100">
                  <c:v>47.215000000000003</c:v>
                </c:pt>
                <c:pt idx="101">
                  <c:v>47.215000000000003</c:v>
                </c:pt>
                <c:pt idx="102">
                  <c:v>47.405000000000001</c:v>
                </c:pt>
                <c:pt idx="103">
                  <c:v>47.5</c:v>
                </c:pt>
                <c:pt idx="104">
                  <c:v>47.594999999999999</c:v>
                </c:pt>
                <c:pt idx="105">
                  <c:v>47.784999999999997</c:v>
                </c:pt>
                <c:pt idx="106">
                  <c:v>48.165000000000006</c:v>
                </c:pt>
                <c:pt idx="107">
                  <c:v>48.45</c:v>
                </c:pt>
                <c:pt idx="108">
                  <c:v>48.545000000000002</c:v>
                </c:pt>
                <c:pt idx="109">
                  <c:v>48.83</c:v>
                </c:pt>
                <c:pt idx="110">
                  <c:v>48.83</c:v>
                </c:pt>
                <c:pt idx="111">
                  <c:v>49.115000000000002</c:v>
                </c:pt>
                <c:pt idx="112">
                  <c:v>49.78</c:v>
                </c:pt>
                <c:pt idx="113">
                  <c:v>50.16</c:v>
                </c:pt>
                <c:pt idx="114">
                  <c:v>50.445</c:v>
                </c:pt>
              </c:numCache>
            </c:numRef>
          </c:yVal>
          <c:smooth val="1"/>
          <c:extLst>
            <c:ext xmlns:c16="http://schemas.microsoft.com/office/drawing/2014/chart" uri="{C3380CC4-5D6E-409C-BE32-E72D297353CC}">
              <c16:uniqueId val="{00000002-9D4C-C94B-8EB2-ADCB2D2986D4}"/>
            </c:ext>
          </c:extLst>
        </c:ser>
        <c:ser>
          <c:idx val="3"/>
          <c:order val="3"/>
          <c:tx>
            <c:v>Sim</c:v>
          </c:tx>
          <c:spPr>
            <a:ln w="19050" cap="rnd">
              <a:noFill/>
              <a:round/>
            </a:ln>
            <a:effectLst/>
          </c:spPr>
          <c:marker>
            <c:symbol val="circle"/>
            <c:size val="5"/>
            <c:spPr>
              <a:noFill/>
              <a:ln w="9525">
                <a:solidFill>
                  <a:schemeClr val="tx1"/>
                </a:solidFill>
              </a:ln>
              <a:effectLst/>
            </c:spPr>
          </c:marker>
          <c:xVal>
            <c:numRef>
              <c:f>Error_Power!$B$4:$B$117</c:f>
              <c:numCache>
                <c:formatCode>General</c:formatCode>
                <c:ptCount val="114"/>
                <c:pt idx="0">
                  <c:v>23.4</c:v>
                </c:pt>
                <c:pt idx="1">
                  <c:v>23.5</c:v>
                </c:pt>
                <c:pt idx="2">
                  <c:v>23.7</c:v>
                </c:pt>
                <c:pt idx="3">
                  <c:v>23.8</c:v>
                </c:pt>
                <c:pt idx="4">
                  <c:v>24.2</c:v>
                </c:pt>
                <c:pt idx="5">
                  <c:v>24.3</c:v>
                </c:pt>
                <c:pt idx="6">
                  <c:v>24.7</c:v>
                </c:pt>
                <c:pt idx="7">
                  <c:v>24.9</c:v>
                </c:pt>
                <c:pt idx="8">
                  <c:v>25</c:v>
                </c:pt>
                <c:pt idx="9">
                  <c:v>25.2</c:v>
                </c:pt>
                <c:pt idx="10">
                  <c:v>25.4</c:v>
                </c:pt>
                <c:pt idx="11">
                  <c:v>25.5</c:v>
                </c:pt>
                <c:pt idx="12">
                  <c:v>25.7</c:v>
                </c:pt>
                <c:pt idx="13">
                  <c:v>25.9</c:v>
                </c:pt>
                <c:pt idx="14">
                  <c:v>26</c:v>
                </c:pt>
                <c:pt idx="15">
                  <c:v>26.1</c:v>
                </c:pt>
                <c:pt idx="16">
                  <c:v>26.2</c:v>
                </c:pt>
                <c:pt idx="17">
                  <c:v>26.3</c:v>
                </c:pt>
                <c:pt idx="18">
                  <c:v>26.4</c:v>
                </c:pt>
                <c:pt idx="19">
                  <c:v>26.4</c:v>
                </c:pt>
                <c:pt idx="20">
                  <c:v>26.6</c:v>
                </c:pt>
                <c:pt idx="21">
                  <c:v>27.1</c:v>
                </c:pt>
                <c:pt idx="22">
                  <c:v>27.1</c:v>
                </c:pt>
                <c:pt idx="23">
                  <c:v>27.3</c:v>
                </c:pt>
                <c:pt idx="24">
                  <c:v>27.3</c:v>
                </c:pt>
                <c:pt idx="25">
                  <c:v>27.5</c:v>
                </c:pt>
                <c:pt idx="26">
                  <c:v>27.5</c:v>
                </c:pt>
                <c:pt idx="27">
                  <c:v>27.7</c:v>
                </c:pt>
                <c:pt idx="28">
                  <c:v>27.9</c:v>
                </c:pt>
                <c:pt idx="29">
                  <c:v>28</c:v>
                </c:pt>
                <c:pt idx="30">
                  <c:v>28.6</c:v>
                </c:pt>
                <c:pt idx="31">
                  <c:v>28.8</c:v>
                </c:pt>
                <c:pt idx="32">
                  <c:v>29</c:v>
                </c:pt>
                <c:pt idx="33">
                  <c:v>30.4</c:v>
                </c:pt>
                <c:pt idx="34">
                  <c:v>30.5</c:v>
                </c:pt>
                <c:pt idx="35">
                  <c:v>30.8</c:v>
                </c:pt>
                <c:pt idx="36">
                  <c:v>30.9</c:v>
                </c:pt>
                <c:pt idx="37">
                  <c:v>31.5</c:v>
                </c:pt>
                <c:pt idx="38">
                  <c:v>31.5</c:v>
                </c:pt>
                <c:pt idx="39">
                  <c:v>31.6</c:v>
                </c:pt>
                <c:pt idx="40">
                  <c:v>31.7</c:v>
                </c:pt>
                <c:pt idx="41">
                  <c:v>31.9</c:v>
                </c:pt>
                <c:pt idx="42">
                  <c:v>32.1</c:v>
                </c:pt>
                <c:pt idx="43">
                  <c:v>32.4</c:v>
                </c:pt>
                <c:pt idx="44">
                  <c:v>32.5</c:v>
                </c:pt>
                <c:pt idx="45">
                  <c:v>32.5</c:v>
                </c:pt>
                <c:pt idx="46">
                  <c:v>32.799999999999997</c:v>
                </c:pt>
                <c:pt idx="47">
                  <c:v>33</c:v>
                </c:pt>
                <c:pt idx="48">
                  <c:v>33.200000000000003</c:v>
                </c:pt>
                <c:pt idx="49">
                  <c:v>33.200000000000003</c:v>
                </c:pt>
                <c:pt idx="50">
                  <c:v>33.5</c:v>
                </c:pt>
                <c:pt idx="51">
                  <c:v>33.5</c:v>
                </c:pt>
                <c:pt idx="52">
                  <c:v>33.6</c:v>
                </c:pt>
                <c:pt idx="53">
                  <c:v>33.700000000000003</c:v>
                </c:pt>
                <c:pt idx="54">
                  <c:v>34</c:v>
                </c:pt>
                <c:pt idx="55">
                  <c:v>34.299999999999997</c:v>
                </c:pt>
                <c:pt idx="56">
                  <c:v>34.299999999999997</c:v>
                </c:pt>
                <c:pt idx="57">
                  <c:v>34.5</c:v>
                </c:pt>
                <c:pt idx="58">
                  <c:v>34.6</c:v>
                </c:pt>
                <c:pt idx="59">
                  <c:v>34.700000000000003</c:v>
                </c:pt>
                <c:pt idx="60">
                  <c:v>34.799999999999997</c:v>
                </c:pt>
                <c:pt idx="61">
                  <c:v>35</c:v>
                </c:pt>
                <c:pt idx="62">
                  <c:v>35.200000000000003</c:v>
                </c:pt>
                <c:pt idx="63">
                  <c:v>35.9</c:v>
                </c:pt>
                <c:pt idx="64">
                  <c:v>36.200000000000003</c:v>
                </c:pt>
                <c:pt idx="65">
                  <c:v>36.4</c:v>
                </c:pt>
                <c:pt idx="66">
                  <c:v>40.799999999999997</c:v>
                </c:pt>
                <c:pt idx="67">
                  <c:v>41</c:v>
                </c:pt>
                <c:pt idx="68">
                  <c:v>41.4</c:v>
                </c:pt>
                <c:pt idx="69">
                  <c:v>41.6</c:v>
                </c:pt>
                <c:pt idx="70">
                  <c:v>41.6</c:v>
                </c:pt>
                <c:pt idx="71">
                  <c:v>41.9</c:v>
                </c:pt>
                <c:pt idx="72">
                  <c:v>42.1</c:v>
                </c:pt>
                <c:pt idx="73">
                  <c:v>42.4</c:v>
                </c:pt>
                <c:pt idx="74">
                  <c:v>42.5</c:v>
                </c:pt>
                <c:pt idx="75">
                  <c:v>42.6</c:v>
                </c:pt>
                <c:pt idx="76">
                  <c:v>42.8</c:v>
                </c:pt>
                <c:pt idx="77">
                  <c:v>42.8</c:v>
                </c:pt>
                <c:pt idx="78">
                  <c:v>43</c:v>
                </c:pt>
                <c:pt idx="79">
                  <c:v>43.2</c:v>
                </c:pt>
                <c:pt idx="80">
                  <c:v>43.4</c:v>
                </c:pt>
                <c:pt idx="81">
                  <c:v>43.7</c:v>
                </c:pt>
                <c:pt idx="82">
                  <c:v>43.9</c:v>
                </c:pt>
                <c:pt idx="83">
                  <c:v>44.1</c:v>
                </c:pt>
                <c:pt idx="84">
                  <c:v>44.2</c:v>
                </c:pt>
                <c:pt idx="85">
                  <c:v>44.3</c:v>
                </c:pt>
                <c:pt idx="86">
                  <c:v>44.4</c:v>
                </c:pt>
                <c:pt idx="87">
                  <c:v>45.2</c:v>
                </c:pt>
                <c:pt idx="88">
                  <c:v>45.5</c:v>
                </c:pt>
                <c:pt idx="89">
                  <c:v>45.8</c:v>
                </c:pt>
                <c:pt idx="90">
                  <c:v>47.8</c:v>
                </c:pt>
                <c:pt idx="91">
                  <c:v>48</c:v>
                </c:pt>
                <c:pt idx="92">
                  <c:v>48.4</c:v>
                </c:pt>
                <c:pt idx="93">
                  <c:v>48.5</c:v>
                </c:pt>
                <c:pt idx="94">
                  <c:v>48.7</c:v>
                </c:pt>
                <c:pt idx="95">
                  <c:v>48.7</c:v>
                </c:pt>
                <c:pt idx="96">
                  <c:v>49</c:v>
                </c:pt>
                <c:pt idx="97">
                  <c:v>49.4</c:v>
                </c:pt>
                <c:pt idx="98">
                  <c:v>49.7</c:v>
                </c:pt>
                <c:pt idx="99">
                  <c:v>49.7</c:v>
                </c:pt>
                <c:pt idx="100">
                  <c:v>49.7</c:v>
                </c:pt>
                <c:pt idx="101">
                  <c:v>49.9</c:v>
                </c:pt>
                <c:pt idx="102">
                  <c:v>50</c:v>
                </c:pt>
                <c:pt idx="103">
                  <c:v>50.1</c:v>
                </c:pt>
                <c:pt idx="104">
                  <c:v>50.3</c:v>
                </c:pt>
                <c:pt idx="105">
                  <c:v>50.7</c:v>
                </c:pt>
                <c:pt idx="106">
                  <c:v>51</c:v>
                </c:pt>
                <c:pt idx="107">
                  <c:v>51.1</c:v>
                </c:pt>
                <c:pt idx="108">
                  <c:v>51.4</c:v>
                </c:pt>
                <c:pt idx="109">
                  <c:v>51.4</c:v>
                </c:pt>
                <c:pt idx="110">
                  <c:v>51.7</c:v>
                </c:pt>
                <c:pt idx="111">
                  <c:v>52.4</c:v>
                </c:pt>
                <c:pt idx="112">
                  <c:v>52.8</c:v>
                </c:pt>
                <c:pt idx="113">
                  <c:v>53.1</c:v>
                </c:pt>
              </c:numCache>
            </c:numRef>
          </c:xVal>
          <c:yVal>
            <c:numRef>
              <c:f>Error_Power!$F$4:$F$117</c:f>
              <c:numCache>
                <c:formatCode>General</c:formatCode>
                <c:ptCount val="114"/>
                <c:pt idx="0">
                  <c:v>22.193991338041027</c:v>
                </c:pt>
                <c:pt idx="1">
                  <c:v>22.376425778378952</c:v>
                </c:pt>
                <c:pt idx="2">
                  <c:v>23.531583437213268</c:v>
                </c:pt>
                <c:pt idx="3">
                  <c:v>23.859105370582103</c:v>
                </c:pt>
                <c:pt idx="4">
                  <c:v>24.041539810920032</c:v>
                </c:pt>
                <c:pt idx="5">
                  <c:v>24.79413010332819</c:v>
                </c:pt>
                <c:pt idx="6">
                  <c:v>24.976564543666122</c:v>
                </c:pt>
                <c:pt idx="7">
                  <c:v>25.055910272920663</c:v>
                </c:pt>
                <c:pt idx="8">
                  <c:v>25.162188667991149</c:v>
                </c:pt>
                <c:pt idx="9">
                  <c:v>25.274229509912235</c:v>
                </c:pt>
                <c:pt idx="10">
                  <c:v>25.383432206289498</c:v>
                </c:pt>
                <c:pt idx="11">
                  <c:v>25.636260245044269</c:v>
                </c:pt>
                <c:pt idx="12">
                  <c:v>25.866238381411783</c:v>
                </c:pt>
                <c:pt idx="13">
                  <c:v>26.052973117946927</c:v>
                </c:pt>
                <c:pt idx="14">
                  <c:v>26.165013959868013</c:v>
                </c:pt>
                <c:pt idx="15">
                  <c:v>26.20211580091728</c:v>
                </c:pt>
                <c:pt idx="16">
                  <c:v>26.298662714960663</c:v>
                </c:pt>
                <c:pt idx="17">
                  <c:v>26.529637734286116</c:v>
                </c:pt>
                <c:pt idx="18">
                  <c:v>26.696578246746352</c:v>
                </c:pt>
                <c:pt idx="19">
                  <c:v>26.757022831367564</c:v>
                </c:pt>
                <c:pt idx="20">
                  <c:v>26.782465773040887</c:v>
                </c:pt>
                <c:pt idx="21">
                  <c:v>26.943757567902708</c:v>
                </c:pt>
                <c:pt idx="22">
                  <c:v>26.949406285501119</c:v>
                </c:pt>
                <c:pt idx="23">
                  <c:v>27.055798409823794</c:v>
                </c:pt>
                <c:pt idx="24">
                  <c:v>27.647807281323338</c:v>
                </c:pt>
                <c:pt idx="25">
                  <c:v>27.834542017858489</c:v>
                </c:pt>
                <c:pt idx="26">
                  <c:v>27.86722983345836</c:v>
                </c:pt>
                <c:pt idx="27">
                  <c:v>27.946582859779575</c:v>
                </c:pt>
                <c:pt idx="28">
                  <c:v>28.265145365244038</c:v>
                </c:pt>
                <c:pt idx="29">
                  <c:v>28.517973403998823</c:v>
                </c:pt>
                <c:pt idx="30">
                  <c:v>29.16295758130876</c:v>
                </c:pt>
                <c:pt idx="31">
                  <c:v>29.250769472332056</c:v>
                </c:pt>
                <c:pt idx="32">
                  <c:v>29.345392021646688</c:v>
                </c:pt>
                <c:pt idx="33">
                  <c:v>29.648685004117731</c:v>
                </c:pt>
                <c:pt idx="34">
                  <c:v>29.901513042872523</c:v>
                </c:pt>
                <c:pt idx="35">
                  <c:v>30.430156082064144</c:v>
                </c:pt>
                <c:pt idx="36">
                  <c:v>30.757678015432987</c:v>
                </c:pt>
                <c:pt idx="37">
                  <c:v>30.940112455770926</c:v>
                </c:pt>
                <c:pt idx="38">
                  <c:v>31.692702748179077</c:v>
                </c:pt>
                <c:pt idx="39">
                  <c:v>31.875137188517005</c:v>
                </c:pt>
                <c:pt idx="40">
                  <c:v>31.954482917771543</c:v>
                </c:pt>
                <c:pt idx="41">
                  <c:v>32.201548509675717</c:v>
                </c:pt>
                <c:pt idx="42">
                  <c:v>32.313589351596811</c:v>
                </c:pt>
                <c:pt idx="43">
                  <c:v>32.352398449557228</c:v>
                </c:pt>
                <c:pt idx="44">
                  <c:v>32.534832889895156</c:v>
                </c:pt>
                <c:pt idx="45">
                  <c:v>32.905598223096355</c:v>
                </c:pt>
                <c:pt idx="46">
                  <c:v>33.092332959631499</c:v>
                </c:pt>
                <c:pt idx="47">
                  <c:v>33.100688445768164</c:v>
                </c:pt>
                <c:pt idx="48">
                  <c:v>33.204373801552592</c:v>
                </c:pt>
                <c:pt idx="49">
                  <c:v>33.267628958228393</c:v>
                </c:pt>
                <c:pt idx="50">
                  <c:v>33.498603977553849</c:v>
                </c:pt>
                <c:pt idx="51">
                  <c:v>33.595150891597228</c:v>
                </c:pt>
                <c:pt idx="52">
                  <c:v>33.681038417891777</c:v>
                </c:pt>
                <c:pt idx="53">
                  <c:v>33.796382673052136</c:v>
                </c:pt>
                <c:pt idx="54">
                  <c:v>33.847978930352014</c:v>
                </c:pt>
                <c:pt idx="55">
                  <c:v>33.983117409587287</c:v>
                </c:pt>
                <c:pt idx="56">
                  <c:v>34.095158251508373</c:v>
                </c:pt>
                <c:pt idx="57">
                  <c:v>34.68716712300791</c:v>
                </c:pt>
                <c:pt idx="58">
                  <c:v>34.765802478309247</c:v>
                </c:pt>
                <c:pt idx="59">
                  <c:v>34.873901859543061</c:v>
                </c:pt>
                <c:pt idx="60">
                  <c:v>34.985942701464147</c:v>
                </c:pt>
                <c:pt idx="61">
                  <c:v>35.163718010094932</c:v>
                </c:pt>
                <c:pt idx="62">
                  <c:v>35.416546048849717</c:v>
                </c:pt>
                <c:pt idx="63">
                  <c:v>36.14934211718294</c:v>
                </c:pt>
                <c:pt idx="64">
                  <c:v>36.547257648968625</c:v>
                </c:pt>
                <c:pt idx="65">
                  <c:v>36.80008568772341</c:v>
                </c:pt>
                <c:pt idx="66">
                  <c:v>39.581210147001933</c:v>
                </c:pt>
                <c:pt idx="67">
                  <c:v>39.763644587339869</c:v>
                </c:pt>
                <c:pt idx="68">
                  <c:v>40.918802246174167</c:v>
                </c:pt>
                <c:pt idx="69">
                  <c:v>41.17593058112616</c:v>
                </c:pt>
                <c:pt idx="70">
                  <c:v>41.358365021464095</c:v>
                </c:pt>
                <c:pt idx="71">
                  <c:v>42.110955313872253</c:v>
                </c:pt>
                <c:pt idx="72">
                  <c:v>42.293389754210189</c:v>
                </c:pt>
                <c:pt idx="73">
                  <c:v>42.372735483464723</c:v>
                </c:pt>
                <c:pt idx="74">
                  <c:v>42.700257416833558</c:v>
                </c:pt>
                <c:pt idx="75">
                  <c:v>42.760588272202597</c:v>
                </c:pt>
                <c:pt idx="76">
                  <c:v>42.872629114123683</c:v>
                </c:pt>
                <c:pt idx="77">
                  <c:v>42.882691857171494</c:v>
                </c:pt>
                <c:pt idx="78">
                  <c:v>43.464637985623227</c:v>
                </c:pt>
                <c:pt idx="79">
                  <c:v>43.518941011461337</c:v>
                </c:pt>
                <c:pt idx="80">
                  <c:v>43.651372722158371</c:v>
                </c:pt>
                <c:pt idx="81">
                  <c:v>43.763413564079457</c:v>
                </c:pt>
                <c:pt idx="82">
                  <c:v>43.846462944830172</c:v>
                </c:pt>
                <c:pt idx="83">
                  <c:v>44.028897385168115</c:v>
                </c:pt>
                <c:pt idx="84">
                  <c:v>44.355422435579008</c:v>
                </c:pt>
                <c:pt idx="85">
                  <c:v>44.542157172114152</c:v>
                </c:pt>
                <c:pt idx="86">
                  <c:v>44.654198014035245</c:v>
                </c:pt>
                <c:pt idx="87">
                  <c:v>45.18405504400242</c:v>
                </c:pt>
                <c:pt idx="88">
                  <c:v>45.511576977371263</c:v>
                </c:pt>
                <c:pt idx="89">
                  <c:v>45.694011417709191</c:v>
                </c:pt>
                <c:pt idx="90">
                  <c:v>46.550176390269677</c:v>
                </c:pt>
                <c:pt idx="91">
                  <c:v>46.662217232190763</c:v>
                </c:pt>
                <c:pt idx="92">
                  <c:v>47.817374891025047</c:v>
                </c:pt>
                <c:pt idx="93">
                  <c:v>48.074503225977061</c:v>
                </c:pt>
                <c:pt idx="94">
                  <c:v>48.25693766631499</c:v>
                </c:pt>
                <c:pt idx="95">
                  <c:v>49.00952795872314</c:v>
                </c:pt>
                <c:pt idx="96">
                  <c:v>49.191962399061069</c:v>
                </c:pt>
                <c:pt idx="97">
                  <c:v>49.341701726732438</c:v>
                </c:pt>
                <c:pt idx="98">
                  <c:v>49.598830061684453</c:v>
                </c:pt>
                <c:pt idx="99">
                  <c:v>49.781264502022381</c:v>
                </c:pt>
                <c:pt idx="100">
                  <c:v>49.799948113887169</c:v>
                </c:pt>
                <c:pt idx="101">
                  <c:v>49.911988955808262</c:v>
                </c:pt>
                <c:pt idx="102">
                  <c:v>50.487907254729059</c:v>
                </c:pt>
                <c:pt idx="103">
                  <c:v>50.503997827307799</c:v>
                </c:pt>
                <c:pt idx="104">
                  <c:v>50.690732563842943</c:v>
                </c:pt>
                <c:pt idx="105">
                  <c:v>50.745035589681073</c:v>
                </c:pt>
                <c:pt idx="106">
                  <c:v>50.802773405764036</c:v>
                </c:pt>
                <c:pt idx="107">
                  <c:v>50.927470030019002</c:v>
                </c:pt>
                <c:pt idx="108">
                  <c:v>51.39478227726358</c:v>
                </c:pt>
                <c:pt idx="109">
                  <c:v>51.581517013798724</c:v>
                </c:pt>
                <c:pt idx="110">
                  <c:v>51.693557855719817</c:v>
                </c:pt>
                <c:pt idx="111">
                  <c:v>52.082627688853314</c:v>
                </c:pt>
                <c:pt idx="112">
                  <c:v>52.410149622222143</c:v>
                </c:pt>
                <c:pt idx="113">
                  <c:v>52.592584062560078</c:v>
                </c:pt>
              </c:numCache>
            </c:numRef>
          </c:yVal>
          <c:smooth val="1"/>
          <c:extLst>
            <c:ext xmlns:c16="http://schemas.microsoft.com/office/drawing/2014/chart" uri="{C3380CC4-5D6E-409C-BE32-E72D297353CC}">
              <c16:uniqueId val="{00000003-9D4C-C94B-8EB2-ADCB2D2986D4}"/>
            </c:ext>
          </c:extLst>
        </c:ser>
        <c:dLbls>
          <c:showLegendKey val="0"/>
          <c:showVal val="0"/>
          <c:showCatName val="0"/>
          <c:showSerName val="0"/>
          <c:showPercent val="0"/>
          <c:showBubbleSize val="0"/>
        </c:dLbls>
        <c:axId val="454706632"/>
        <c:axId val="454707272"/>
      </c:scatterChart>
      <c:valAx>
        <c:axId val="454706632"/>
        <c:scaling>
          <c:orientation val="minMax"/>
          <c:max val="55"/>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latin typeface="Calibri" panose="020F0502020204030204" pitchFamily="34" charset="0"/>
                    <a:cs typeface="Calibri" panose="020F0502020204030204" pitchFamily="34" charset="0"/>
                  </a:rPr>
                  <a:t>Power from simulation (kW)</a:t>
                </a:r>
                <a:endParaRPr lang="zh-TW" altLang="en-US">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4707272"/>
        <c:crosses val="autoZero"/>
        <c:crossBetween val="midCat"/>
      </c:valAx>
      <c:valAx>
        <c:axId val="454707272"/>
        <c:scaling>
          <c:orientation val="minMax"/>
          <c:max val="55"/>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latin typeface="Calibri" panose="020F0502020204030204" pitchFamily="34" charset="0"/>
                    <a:cs typeface="Calibri" panose="020F0502020204030204" pitchFamily="34" charset="0"/>
                  </a:rPr>
                  <a:t>Power from catalog (kW)</a:t>
                </a:r>
                <a:endParaRPr lang="zh-TW" altLang="en-US">
                  <a:latin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crossAx val="454706632"/>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0.67045</cdr:x>
      <cdr:y>0.35294</cdr:y>
    </cdr:from>
    <cdr:to>
      <cdr:x>0.82743</cdr:x>
      <cdr:y>0.43591</cdr:y>
    </cdr:to>
    <cdr:sp macro="" textlink="">
      <cdr:nvSpPr>
        <cdr:cNvPr id="2" name="文本框 1">
          <a:extLst xmlns:a="http://schemas.openxmlformats.org/drawingml/2006/main">
            <a:ext uri="{FF2B5EF4-FFF2-40B4-BE49-F238E27FC236}">
              <a16:creationId xmlns:a16="http://schemas.microsoft.com/office/drawing/2014/main" id="{0019F19E-3E66-492F-8EAD-0B34DE7B1A2A}"/>
            </a:ext>
          </a:extLst>
        </cdr:cNvPr>
        <cdr:cNvSpPr txBox="1"/>
      </cdr:nvSpPr>
      <cdr:spPr>
        <a:xfrm xmlns:a="http://schemas.openxmlformats.org/drawingml/2006/main">
          <a:off x="2544510" y="1065564"/>
          <a:ext cx="595785" cy="2505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CN" sz="1100">
              <a:latin typeface="Calibri" panose="020F0502020204030204" pitchFamily="34" charset="0"/>
              <a:cs typeface="Calibri" panose="020F0502020204030204" pitchFamily="34" charset="0"/>
            </a:rPr>
            <a:t>-5%</a:t>
          </a:r>
          <a:endParaRPr lang="zh-CN" altLang="en-US" sz="1100">
            <a:latin typeface="Calibri" panose="020F0502020204030204" pitchFamily="34" charset="0"/>
            <a:cs typeface="Calibri" panose="020F0502020204030204" pitchFamily="34" charset="0"/>
          </a:endParaRPr>
        </a:p>
      </cdr:txBody>
    </cdr:sp>
  </cdr:relSizeAnchor>
  <cdr:relSizeAnchor xmlns:cdr="http://schemas.openxmlformats.org/drawingml/2006/chartDrawing">
    <cdr:from>
      <cdr:x>0.52155</cdr:x>
      <cdr:y>0.26216</cdr:y>
    </cdr:from>
    <cdr:to>
      <cdr:x>0.67853</cdr:x>
      <cdr:y>0.34513</cdr:y>
    </cdr:to>
    <cdr:sp macro="" textlink="">
      <cdr:nvSpPr>
        <cdr:cNvPr id="3" name="文本框 1">
          <a:extLst xmlns:a="http://schemas.openxmlformats.org/drawingml/2006/main">
            <a:ext uri="{FF2B5EF4-FFF2-40B4-BE49-F238E27FC236}">
              <a16:creationId xmlns:a16="http://schemas.microsoft.com/office/drawing/2014/main" id="{9B2D580A-8DD7-48FD-A4C0-47CD62B69995}"/>
            </a:ext>
          </a:extLst>
        </cdr:cNvPr>
        <cdr:cNvSpPr txBox="1"/>
      </cdr:nvSpPr>
      <cdr:spPr>
        <a:xfrm xmlns:a="http://schemas.openxmlformats.org/drawingml/2006/main">
          <a:off x="1985186" y="798540"/>
          <a:ext cx="597530" cy="2527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CN" sz="1100">
              <a:latin typeface="Calibri" panose="020F0502020204030204" pitchFamily="34" charset="0"/>
              <a:cs typeface="Calibri" panose="020F0502020204030204" pitchFamily="34" charset="0"/>
            </a:rPr>
            <a:t>+5%</a:t>
          </a:r>
          <a:endParaRPr lang="zh-CN" altLang="en-US" sz="1100">
            <a:latin typeface="Calibri" panose="020F0502020204030204" pitchFamily="34" charset="0"/>
            <a:cs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0.67045</cdr:x>
      <cdr:y>0.35294</cdr:y>
    </cdr:from>
    <cdr:to>
      <cdr:x>0.82743</cdr:x>
      <cdr:y>0.43591</cdr:y>
    </cdr:to>
    <cdr:sp macro="" textlink="">
      <cdr:nvSpPr>
        <cdr:cNvPr id="2" name="文本框 1">
          <a:extLst xmlns:a="http://schemas.openxmlformats.org/drawingml/2006/main">
            <a:ext uri="{FF2B5EF4-FFF2-40B4-BE49-F238E27FC236}">
              <a16:creationId xmlns:a16="http://schemas.microsoft.com/office/drawing/2014/main" id="{0019F19E-3E66-492F-8EAD-0B34DE7B1A2A}"/>
            </a:ext>
          </a:extLst>
        </cdr:cNvPr>
        <cdr:cNvSpPr txBox="1"/>
      </cdr:nvSpPr>
      <cdr:spPr>
        <a:xfrm xmlns:a="http://schemas.openxmlformats.org/drawingml/2006/main">
          <a:off x="2544510" y="1065564"/>
          <a:ext cx="595785" cy="2505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CN" sz="1100">
              <a:latin typeface="Calibri" panose="020F0502020204030204" pitchFamily="34" charset="0"/>
              <a:cs typeface="Calibri" panose="020F0502020204030204" pitchFamily="34" charset="0"/>
            </a:rPr>
            <a:t>-5%</a:t>
          </a:r>
          <a:endParaRPr lang="zh-CN" altLang="en-US" sz="1100">
            <a:latin typeface="Calibri" panose="020F0502020204030204" pitchFamily="34" charset="0"/>
            <a:cs typeface="Calibri" panose="020F0502020204030204" pitchFamily="34" charset="0"/>
          </a:endParaRPr>
        </a:p>
      </cdr:txBody>
    </cdr:sp>
  </cdr:relSizeAnchor>
  <cdr:relSizeAnchor xmlns:cdr="http://schemas.openxmlformats.org/drawingml/2006/chartDrawing">
    <cdr:from>
      <cdr:x>0.52155</cdr:x>
      <cdr:y>0.26216</cdr:y>
    </cdr:from>
    <cdr:to>
      <cdr:x>0.67853</cdr:x>
      <cdr:y>0.34513</cdr:y>
    </cdr:to>
    <cdr:sp macro="" textlink="">
      <cdr:nvSpPr>
        <cdr:cNvPr id="3" name="文本框 1">
          <a:extLst xmlns:a="http://schemas.openxmlformats.org/drawingml/2006/main">
            <a:ext uri="{FF2B5EF4-FFF2-40B4-BE49-F238E27FC236}">
              <a16:creationId xmlns:a16="http://schemas.microsoft.com/office/drawing/2014/main" id="{9B2D580A-8DD7-48FD-A4C0-47CD62B69995}"/>
            </a:ext>
          </a:extLst>
        </cdr:cNvPr>
        <cdr:cNvSpPr txBox="1"/>
      </cdr:nvSpPr>
      <cdr:spPr>
        <a:xfrm xmlns:a="http://schemas.openxmlformats.org/drawingml/2006/main">
          <a:off x="1985186" y="798540"/>
          <a:ext cx="597530" cy="2527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CN" sz="1100">
              <a:latin typeface="Calibri" panose="020F0502020204030204" pitchFamily="34" charset="0"/>
              <a:cs typeface="Calibri" panose="020F0502020204030204" pitchFamily="34" charset="0"/>
            </a:rPr>
            <a:t>+5%</a:t>
          </a:r>
          <a:endParaRPr lang="zh-CN" altLang="en-US" sz="1100">
            <a:latin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TotalTime>
  <Pages>11</Pages>
  <Words>3938</Words>
  <Characters>20676</Characters>
  <Application>Microsoft Office Word</Application>
  <DocSecurity>0</DocSecurity>
  <Lines>712</Lines>
  <Paragraphs>473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Hirpa Gelgele Lemu</cp:lastModifiedBy>
  <cp:revision>2</cp:revision>
  <cp:lastPrinted>2023-10-19T09:27:00Z</cp:lastPrinted>
  <dcterms:created xsi:type="dcterms:W3CDTF">2023-10-23T15:35:00Z</dcterms:created>
  <dcterms:modified xsi:type="dcterms:W3CDTF">2023-10-23T15:35:00Z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