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7D581" w14:textId="080543BD" w:rsidR="009A0487" w:rsidRPr="009C541F" w:rsidRDefault="0078183E">
      <w:pPr>
        <w:pStyle w:val="Title"/>
      </w:pPr>
      <w:r w:rsidRPr="0078183E">
        <w:t>Artificial Neural Network Model for Predicting CO₂ Heat Pump Behaviour in Domestic Hot Water and Space Heating Systems</w:t>
      </w:r>
    </w:p>
    <w:p w14:paraId="23A69985" w14:textId="6E994923" w:rsidR="009A0487" w:rsidRDefault="0078183E">
      <w:pPr>
        <w:pStyle w:val="Authors"/>
      </w:pPr>
      <w:r>
        <w:t>F S Fadnes</w:t>
      </w:r>
      <w:r>
        <w:rPr>
          <w:vertAlign w:val="superscript"/>
        </w:rPr>
        <w:t>1,2, *</w:t>
      </w:r>
      <w:r>
        <w:t>, R Banihabib</w:t>
      </w:r>
      <w:r>
        <w:rPr>
          <w:vertAlign w:val="superscript"/>
        </w:rPr>
        <w:t>1</w:t>
      </w:r>
      <w:r>
        <w:t xml:space="preserve"> and M Assadi</w:t>
      </w:r>
      <w:r w:rsidR="00274766">
        <w:rPr>
          <w:vertAlign w:val="superscript"/>
        </w:rPr>
        <w:t xml:space="preserve">1 </w:t>
      </w:r>
    </w:p>
    <w:p w14:paraId="495C4D45" w14:textId="77777777" w:rsidR="00274766" w:rsidRDefault="00274766" w:rsidP="00006EA6">
      <w:pPr>
        <w:pStyle w:val="Addresses"/>
        <w:spacing w:after="0"/>
      </w:pPr>
      <w:r>
        <w:rPr>
          <w:vertAlign w:val="superscript"/>
        </w:rPr>
        <w:t xml:space="preserve">1 </w:t>
      </w:r>
      <w:r>
        <w:t>University of Stavanger, Norway</w:t>
      </w:r>
    </w:p>
    <w:p w14:paraId="750D349E" w14:textId="19082C22" w:rsidR="009A0487" w:rsidRDefault="00274766" w:rsidP="00006EA6">
      <w:pPr>
        <w:pStyle w:val="Addresses"/>
        <w:spacing w:after="0"/>
      </w:pPr>
      <w:r>
        <w:rPr>
          <w:vertAlign w:val="superscript"/>
        </w:rPr>
        <w:t xml:space="preserve">2 </w:t>
      </w:r>
      <w:r w:rsidR="0078183E">
        <w:t>Norconsult AS, Norway</w:t>
      </w:r>
    </w:p>
    <w:p w14:paraId="16A88876" w14:textId="77777777" w:rsidR="00006EA6" w:rsidRPr="00D1078F" w:rsidRDefault="00006EA6" w:rsidP="00D1078F">
      <w:pPr>
        <w:pStyle w:val="E-mail"/>
        <w:ind w:left="0"/>
        <w:rPr>
          <w:lang w:val="en-GB"/>
        </w:rPr>
      </w:pPr>
    </w:p>
    <w:p w14:paraId="5A87E278" w14:textId="63338DAF" w:rsidR="009A0487" w:rsidRDefault="00274766">
      <w:pPr>
        <w:pStyle w:val="E-mail"/>
      </w:pPr>
      <w:r>
        <w:rPr>
          <w:vertAlign w:val="superscript"/>
        </w:rPr>
        <w:t xml:space="preserve">* </w:t>
      </w:r>
      <w:hyperlink r:id="rId8" w:history="1">
        <w:r w:rsidR="00EF364E" w:rsidRPr="0029050C">
          <w:rPr>
            <w:rStyle w:val="Hyperlink"/>
          </w:rPr>
          <w:t>fredrik.s.fadnes@uis.no</w:t>
        </w:r>
      </w:hyperlink>
    </w:p>
    <w:p w14:paraId="5A581E08" w14:textId="0BB6D7A8" w:rsidR="00EF364E" w:rsidRPr="00EF364E" w:rsidRDefault="00EF364E" w:rsidP="00EF364E">
      <w:pPr>
        <w:pStyle w:val="Abstract"/>
      </w:pPr>
      <w:r>
        <w:rPr>
          <w:b/>
        </w:rPr>
        <w:t xml:space="preserve">Abstract. </w:t>
      </w:r>
      <w:r w:rsidRPr="00EF364E">
        <w:rPr>
          <w:bCs/>
        </w:rPr>
        <w:t>The natural refrigerant</w:t>
      </w:r>
      <w:r w:rsidR="006F2770">
        <w:rPr>
          <w:bCs/>
        </w:rPr>
        <w:t>,</w:t>
      </w:r>
      <w:r w:rsidRPr="00EF364E">
        <w:rPr>
          <w:bCs/>
        </w:rPr>
        <w:t xml:space="preserve"> CO</w:t>
      </w:r>
      <w:r w:rsidRPr="00164C10">
        <w:rPr>
          <w:bCs/>
          <w:vertAlign w:val="subscript"/>
        </w:rPr>
        <w:t>2</w:t>
      </w:r>
      <w:r w:rsidR="006F2770">
        <w:rPr>
          <w:bCs/>
        </w:rPr>
        <w:t xml:space="preserve">, </w:t>
      </w:r>
      <w:r w:rsidRPr="00EF364E">
        <w:rPr>
          <w:bCs/>
        </w:rPr>
        <w:t xml:space="preserve">possesses thermophysical properties that make it highly suitable for domestic hot water (DHW) production </w:t>
      </w:r>
      <w:r w:rsidR="00D67D7E">
        <w:rPr>
          <w:bCs/>
        </w:rPr>
        <w:t>using</w:t>
      </w:r>
      <w:r w:rsidRPr="00EF364E">
        <w:rPr>
          <w:bCs/>
        </w:rPr>
        <w:t xml:space="preserve"> heat pump</w:t>
      </w:r>
      <w:r w:rsidR="00D67D7E">
        <w:rPr>
          <w:bCs/>
        </w:rPr>
        <w:t xml:space="preserve"> technology</w:t>
      </w:r>
      <w:r w:rsidRPr="00EF364E">
        <w:rPr>
          <w:bCs/>
        </w:rPr>
        <w:t>. In this study, the development and validation of an artificial neural network (ANN) model that enables efficient design and control of a CO₂ heat pump is presented. The study employs experimental data from a CO₂ heat pump with a nominal heat capacity of 8 kW. The fully instrumented rig includes the heat pump</w:t>
      </w:r>
      <w:r w:rsidR="007422E9">
        <w:rPr>
          <w:bCs/>
        </w:rPr>
        <w:t xml:space="preserve"> and </w:t>
      </w:r>
      <w:r w:rsidRPr="00EF364E">
        <w:rPr>
          <w:bCs/>
        </w:rPr>
        <w:t>a pump rig designed to generate system temperatures representative of</w:t>
      </w:r>
      <w:r w:rsidR="007422E9">
        <w:rPr>
          <w:bCs/>
        </w:rPr>
        <w:t xml:space="preserve"> various</w:t>
      </w:r>
      <w:r w:rsidRPr="00EF364E">
        <w:rPr>
          <w:bCs/>
        </w:rPr>
        <w:t xml:space="preserve"> space heat and DHW demands. A comprehensive dataset was generated through systematic variation of inlet temperatures and setpoints. </w:t>
      </w:r>
      <w:r w:rsidR="00164C10">
        <w:rPr>
          <w:bCs/>
        </w:rPr>
        <w:t>T</w:t>
      </w:r>
      <w:r w:rsidRPr="00EF364E">
        <w:rPr>
          <w:bCs/>
        </w:rPr>
        <w:t xml:space="preserve">he </w:t>
      </w:r>
      <w:r w:rsidR="00164C10">
        <w:rPr>
          <w:bCs/>
        </w:rPr>
        <w:t>ANN</w:t>
      </w:r>
      <w:r w:rsidRPr="00EF364E">
        <w:rPr>
          <w:bCs/>
        </w:rPr>
        <w:t xml:space="preserve"> provides predictions for outlet temperature</w:t>
      </w:r>
      <w:r w:rsidR="00164C10">
        <w:rPr>
          <w:bCs/>
        </w:rPr>
        <w:t>s</w:t>
      </w:r>
      <w:r w:rsidRPr="00EF364E">
        <w:rPr>
          <w:bCs/>
        </w:rPr>
        <w:t>, heat production, and electricity consumption utilizing inlet flow</w:t>
      </w:r>
      <w:r w:rsidR="006F2770">
        <w:rPr>
          <w:bCs/>
        </w:rPr>
        <w:t xml:space="preserve"> rate</w:t>
      </w:r>
      <w:r w:rsidRPr="00EF364E">
        <w:rPr>
          <w:bCs/>
        </w:rPr>
        <w:t xml:space="preserve">s, temperatures, and setpoints as inputs. These predictions are important </w:t>
      </w:r>
      <w:r w:rsidR="007422E9">
        <w:rPr>
          <w:bCs/>
        </w:rPr>
        <w:t>for</w:t>
      </w:r>
      <w:r w:rsidRPr="00EF364E">
        <w:rPr>
          <w:bCs/>
        </w:rPr>
        <w:t xml:space="preserve"> condition monitoring or in a smart operation management framework that determines optimal schedules for the machine.</w:t>
      </w:r>
    </w:p>
    <w:p w14:paraId="0F0E94C4" w14:textId="77777777" w:rsidR="009A0487" w:rsidRDefault="00274766">
      <w:pPr>
        <w:pStyle w:val="Section"/>
      </w:pPr>
      <w:r>
        <w:t>Introduction</w:t>
      </w:r>
    </w:p>
    <w:p w14:paraId="0999FE62" w14:textId="4D894C85" w:rsidR="00714223" w:rsidRDefault="00714223" w:rsidP="009D1BD3">
      <w:r w:rsidRPr="00714223">
        <w:t xml:space="preserve">As nations and industries strive to meet global climate objectives, the adoption of efficient, standardized, and scalable solutions is vital. The ongoing global energy crisis </w:t>
      </w:r>
      <w:r w:rsidR="006F2770">
        <w:t>has</w:t>
      </w:r>
      <w:r w:rsidRPr="00714223">
        <w:t xml:space="preserve"> accelerat</w:t>
      </w:r>
      <w:r w:rsidR="006F2770">
        <w:t>ed</w:t>
      </w:r>
      <w:r w:rsidRPr="00714223">
        <w:t xml:space="preserve"> the need for a shift away from fossil fuels</w:t>
      </w:r>
      <w:r>
        <w:t xml:space="preserve"> </w:t>
      </w:r>
      <w:r>
        <w:rPr>
          <w:lang w:val="en-US"/>
        </w:rPr>
        <w:fldChar w:fldCharType="begin"/>
      </w:r>
      <w:r w:rsidR="00CB2661">
        <w:rPr>
          <w:lang w:val="en-US"/>
        </w:rPr>
        <w:instrText xml:space="preserve"> ADDIN EN.CITE &lt;EndNote&gt;&lt;Cite&gt;&lt;Author&gt;IEA&lt;/Author&gt;&lt;Year&gt;2023&lt;/Year&gt;&lt;RecNum&gt;457&lt;/RecNum&gt;&lt;DisplayText&gt;[1]&lt;/DisplayText&gt;&lt;record&gt;&lt;rec-number&gt;457&lt;/rec-number&gt;&lt;foreign-keys&gt;&lt;key app="EN" db-id="zvr0eev5awpfx9e9faavww2prtw2dpd9r5dr" timestamp="1692899425"&gt;457&lt;/key&gt;&lt;/foreign-keys&gt;&lt;ref-type name="Report"&gt;27&lt;/ref-type&gt;&lt;contributors&gt;&lt;authors&gt;&lt;author&gt;IEA&lt;/author&gt;&lt;/authors&gt;&lt;/contributors&gt;&lt;titles&gt;&lt;title&gt;Tracking Clean Energy Progress 2023&lt;/title&gt;&lt;/titles&gt;&lt;dates&gt;&lt;year&gt;2023&lt;/year&gt;&lt;/dates&gt;&lt;pub-location&gt;Paris&lt;/pub-location&gt;&lt;publisher&gt;IEA&lt;/publisher&gt;&lt;urls&gt;&lt;related-urls&gt;&lt;url&gt;https://www.iea.org/reports/tracking-clean-energy-progress-2023,&lt;/url&gt;&lt;/related-urls&gt;&lt;/urls&gt;&lt;/record&gt;&lt;/Cite&gt;&lt;/EndNote&gt;</w:instrText>
      </w:r>
      <w:r>
        <w:rPr>
          <w:lang w:val="en-US"/>
        </w:rPr>
        <w:fldChar w:fldCharType="separate"/>
      </w:r>
      <w:r w:rsidR="00CB2661">
        <w:rPr>
          <w:noProof/>
          <w:lang w:val="en-US"/>
        </w:rPr>
        <w:t>[1]</w:t>
      </w:r>
      <w:r>
        <w:rPr>
          <w:lang w:val="en-US"/>
        </w:rPr>
        <w:fldChar w:fldCharType="end"/>
      </w:r>
      <w:r w:rsidRPr="001C5F6C">
        <w:t xml:space="preserve">. </w:t>
      </w:r>
      <w:r w:rsidRPr="00714223">
        <w:t>In 2022, nearly half of the energy demand in buildings was allocated to space heating and Domestic Hot Water (DHW), resulting in 2,400 Mt of direct CO</w:t>
      </w:r>
      <w:r w:rsidRPr="00714223">
        <w:rPr>
          <w:vertAlign w:val="subscript"/>
        </w:rPr>
        <w:t>2</w:t>
      </w:r>
      <w:r w:rsidRPr="00714223">
        <w:t xml:space="preserve"> emissions, along with an additional 1,700 Mt of indirect emissions</w:t>
      </w:r>
      <w:r w:rsidR="008579F7">
        <w:t xml:space="preserve"> </w:t>
      </w:r>
      <w:r w:rsidR="008579F7" w:rsidRPr="001C5F6C">
        <w:rPr>
          <w:lang w:val="en-US"/>
        </w:rPr>
        <w:fldChar w:fldCharType="begin"/>
      </w:r>
      <w:r w:rsidR="00CB2661">
        <w:rPr>
          <w:lang w:val="en-US"/>
        </w:rPr>
        <w:instrText xml:space="preserve"> ADDIN EN.CITE &lt;EndNote&gt;&lt;Cite&gt;&lt;Author&gt;IEA&lt;/Author&gt;&lt;Year&gt;2022&lt;/Year&gt;&lt;RecNum&gt;425&lt;/RecNum&gt;&lt;DisplayText&gt;[2]&lt;/DisplayText&gt;&lt;record&gt;&lt;rec-number&gt;425&lt;/rec-number&gt;&lt;foreign-keys&gt;&lt;key app="EN" db-id="zvr0eev5awpfx9e9faavww2prtw2dpd9r5dr" timestamp="1681987156"&gt;425&lt;/key&gt;&lt;/foreign-keys&gt;&lt;ref-type name="Report"&gt;27&lt;/ref-type&gt;&lt;contributors&gt;&lt;authors&gt;&lt;author&gt;IEA&lt;/author&gt;&lt;/authors&gt;&lt;tertiary-authors&gt;&lt;author&gt;IEA&lt;/author&gt;&lt;/tertiary-authors&gt;&lt;/contributors&gt;&lt;titles&gt;&lt;title&gt;Heating&lt;/title&gt;&lt;/titles&gt;&lt;dates&gt;&lt;year&gt;2022&lt;/year&gt;&lt;/dates&gt;&lt;pub-location&gt;Paris&lt;/pub-location&gt;&lt;urls&gt;&lt;related-urls&gt;&lt;url&gt;https://www.iea.org/reports/heating&lt;/url&gt;&lt;/related-urls&gt;&lt;/urls&gt;&lt;/record&gt;&lt;/Cite&gt;&lt;/EndNote&gt;</w:instrText>
      </w:r>
      <w:r w:rsidR="008579F7" w:rsidRPr="001C5F6C">
        <w:rPr>
          <w:lang w:val="en-US"/>
        </w:rPr>
        <w:fldChar w:fldCharType="separate"/>
      </w:r>
      <w:r w:rsidR="00CB2661">
        <w:rPr>
          <w:noProof/>
          <w:lang w:val="en-US"/>
        </w:rPr>
        <w:t>[2]</w:t>
      </w:r>
      <w:r w:rsidR="008579F7" w:rsidRPr="001C5F6C">
        <w:rPr>
          <w:lang w:val="en-US"/>
        </w:rPr>
        <w:fldChar w:fldCharType="end"/>
      </w:r>
      <w:r w:rsidRPr="001C5F6C">
        <w:t xml:space="preserve">. </w:t>
      </w:r>
      <w:r w:rsidRPr="00714223">
        <w:t>The transition from fossil fuels to renewable energy sources for space</w:t>
      </w:r>
      <w:r w:rsidR="006F2770">
        <w:t xml:space="preserve"> heating</w:t>
      </w:r>
      <w:r w:rsidRPr="00714223">
        <w:t xml:space="preserve"> and DHW is a critical component of achieving a Net Zero Scenario. Although mature technologies such as heat pumps, bioenergy boilers, and district heating are available, their adoption needs to be accelerated</w:t>
      </w:r>
      <w:r>
        <w:t xml:space="preserve"> </w:t>
      </w:r>
      <w:r w:rsidR="008579F7">
        <w:rPr>
          <w:lang w:val="en-US"/>
        </w:rPr>
        <w:fldChar w:fldCharType="begin"/>
      </w:r>
      <w:r w:rsidR="00CB2661">
        <w:rPr>
          <w:lang w:val="en-US"/>
        </w:rPr>
        <w:instrText xml:space="preserve"> ADDIN EN.CITE &lt;EndNote&gt;&lt;Cite&gt;&lt;Author&gt;IEA&lt;/Author&gt;&lt;Year&gt;2023&lt;/Year&gt;&lt;RecNum&gt;457&lt;/RecNum&gt;&lt;DisplayText&gt;[1]&lt;/DisplayText&gt;&lt;record&gt;&lt;rec-number&gt;457&lt;/rec-number&gt;&lt;foreign-keys&gt;&lt;key app="EN" db-id="zvr0eev5awpfx9e9faavww2prtw2dpd9r5dr" timestamp="1692899425"&gt;457&lt;/key&gt;&lt;/foreign-keys&gt;&lt;ref-type name="Report"&gt;27&lt;/ref-type&gt;&lt;contributors&gt;&lt;authors&gt;&lt;author&gt;IEA&lt;/author&gt;&lt;/authors&gt;&lt;/contributors&gt;&lt;titles&gt;&lt;title&gt;Tracking Clean Energy Progress 2023&lt;/title&gt;&lt;/titles&gt;&lt;dates&gt;&lt;year&gt;2023&lt;/year&gt;&lt;/dates&gt;&lt;pub-location&gt;Paris&lt;/pub-location&gt;&lt;publisher&gt;IEA&lt;/publisher&gt;&lt;urls&gt;&lt;related-urls&gt;&lt;url&gt;https://www.iea.org/reports/tracking-clean-energy-progress-2023,&lt;/url&gt;&lt;/related-urls&gt;&lt;/urls&gt;&lt;/record&gt;&lt;/Cite&gt;&lt;/EndNote&gt;</w:instrText>
      </w:r>
      <w:r w:rsidR="008579F7">
        <w:rPr>
          <w:lang w:val="en-US"/>
        </w:rPr>
        <w:fldChar w:fldCharType="separate"/>
      </w:r>
      <w:r w:rsidR="00CB2661">
        <w:rPr>
          <w:noProof/>
          <w:lang w:val="en-US"/>
        </w:rPr>
        <w:t>[1]</w:t>
      </w:r>
      <w:r w:rsidR="008579F7">
        <w:rPr>
          <w:lang w:val="en-US"/>
        </w:rPr>
        <w:fldChar w:fldCharType="end"/>
      </w:r>
      <w:r w:rsidR="008579F7" w:rsidRPr="00714223">
        <w:t>.</w:t>
      </w:r>
    </w:p>
    <w:p w14:paraId="3B443B2E" w14:textId="1BFC8CCF" w:rsidR="00F371DE" w:rsidRDefault="009D1BD3" w:rsidP="00F371DE">
      <w:pPr>
        <w:ind w:firstLine="284"/>
      </w:pPr>
      <w:r w:rsidRPr="00E829E2">
        <w:t>While the demand for heating and cooling can vary based on numerous factors such as climate, geographic location, architectural design, building standards, and occupancy, the requirement for DHW remains relatively stable. As advancements in building design and retrofitting methods significantly reduce thermal energy needs, the demand for DHW remains unchanged</w:t>
      </w:r>
      <w:r w:rsidRPr="008F0E36">
        <w:t xml:space="preserve"> </w:t>
      </w:r>
      <w:r>
        <w:fldChar w:fldCharType="begin"/>
      </w:r>
      <w:r w:rsidR="00CB2661">
        <w:instrText xml:space="preserve"> ADDIN EN.CITE &lt;EndNote&gt;&lt;Cite&gt;&lt;Author&gt;Ivanko&lt;/Author&gt;&lt;Year&gt;2020&lt;/Year&gt;&lt;RecNum&gt;470&lt;/RecNum&gt;&lt;DisplayText&gt;[3]&lt;/DisplayText&gt;&lt;record&gt;&lt;rec-number&gt;470&lt;/rec-number&gt;&lt;foreign-keys&gt;&lt;key app="EN" db-id="zvr0eev5awpfx9e9faavww2prtw2dpd9r5dr" timestamp="1692957429"&gt;470&lt;/key&gt;&lt;/foreign-keys&gt;&lt;ref-type name="Journal Article"&gt;17&lt;/ref-type&gt;&lt;contributors&gt;&lt;authors&gt;&lt;author&gt;Ivanko, Dmytro&lt;/author&gt;&lt;author&gt;Walnum, Harald Taxt&lt;/author&gt;&lt;author&gt;Nord, Natasa&lt;/author&gt;&lt;/authors&gt;&lt;/contributors&gt;&lt;titles&gt;&lt;title&gt;Development and analysis of hourly DHW heat use profiles in nursing homes in Norway&lt;/title&gt;&lt;secondary-title&gt;Energy and Buildings&lt;/secondary-title&gt;&lt;/titles&gt;&lt;periodical&gt;&lt;full-title&gt;Energy and Buildings&lt;/full-title&gt;&lt;/periodical&gt;&lt;volume&gt;222&lt;/volume&gt;&lt;section&gt;110070&lt;/section&gt;&lt;dates&gt;&lt;year&gt;2020&lt;/year&gt;&lt;/dates&gt;&lt;isbn&gt;03787788&lt;/isbn&gt;&lt;urls&gt;&lt;/urls&gt;&lt;electronic-resource-num&gt;10.1016/j.enbuild.2020.110070&lt;/electronic-resource-num&gt;&lt;/record&gt;&lt;/Cite&gt;&lt;/EndNote&gt;</w:instrText>
      </w:r>
      <w:r>
        <w:fldChar w:fldCharType="separate"/>
      </w:r>
      <w:r w:rsidR="00CB2661">
        <w:rPr>
          <w:noProof/>
        </w:rPr>
        <w:t>[3]</w:t>
      </w:r>
      <w:r>
        <w:fldChar w:fldCharType="end"/>
      </w:r>
      <w:r>
        <w:t xml:space="preserve"> and in buildings without hydronic space and ventilation heating systems, there is still a DHW demand.</w:t>
      </w:r>
      <w:r w:rsidRPr="00E829E2">
        <w:t xml:space="preserve"> </w:t>
      </w:r>
      <w:r w:rsidRPr="008961C0">
        <w:t>In the US, 18% of home energy consumption is dedicated to DHW, while in the EU, it accounts for 14%</w:t>
      </w:r>
      <w:r w:rsidRPr="001C5F6C">
        <w:t xml:space="preserve"> </w:t>
      </w:r>
      <w:r w:rsidRPr="001C5F6C">
        <w:rPr>
          <w:lang w:val="en-US"/>
        </w:rPr>
        <w:fldChar w:fldCharType="begin"/>
      </w:r>
      <w:r w:rsidR="00CB2661">
        <w:rPr>
          <w:lang w:val="en-US"/>
        </w:rPr>
        <w:instrText xml:space="preserve"> ADDIN EN.CITE &lt;EndNote&gt;&lt;Cite&gt;&lt;Author&gt;Fuentes&lt;/Author&gt;&lt;Year&gt;2018&lt;/Year&gt;&lt;RecNum&gt;428&lt;/RecNum&gt;&lt;DisplayText&gt;[4]&lt;/DisplayText&gt;&lt;record&gt;&lt;rec-number&gt;428&lt;/rec-number&gt;&lt;foreign-keys&gt;&lt;key app="EN" db-id="zvr0eev5awpfx9e9faavww2prtw2dpd9r5dr" timestamp="1681989849"&gt;428&lt;/key&gt;&lt;/foreign-keys&gt;&lt;ref-type name="Journal Article"&gt;17&lt;/ref-type&gt;&lt;contributors&gt;&lt;authors&gt;&lt;author&gt;Fuentes, E.&lt;/author&gt;&lt;author&gt;Arce, L.&lt;/author&gt;&lt;author&gt;Salom, J.&lt;/author&gt;&lt;/authors&gt;&lt;/contributors&gt;&lt;titles&gt;&lt;title&gt;A review of domestic hot water consumption profiles for application in systems and buildings energy performance analysis&lt;/title&gt;&lt;secondary-title&gt;Renewable and Sustainable Energy Reviews&lt;/secondary-title&gt;&lt;/titles&gt;&lt;periodical&gt;&lt;full-title&gt;Renewable and Sustainable Energy Reviews&lt;/full-title&gt;&lt;/periodical&gt;&lt;pages&gt;1530-1547&lt;/pages&gt;&lt;volume&gt;81&lt;/volume&gt;&lt;section&gt;1530&lt;/section&gt;&lt;dates&gt;&lt;year&gt;2018&lt;/year&gt;&lt;/dates&gt;&lt;isbn&gt;13640321&lt;/isbn&gt;&lt;urls&gt;&lt;/urls&gt;&lt;electronic-resource-num&gt;10.1016/j.rser.2017.05.229&lt;/electronic-resource-num&gt;&lt;/record&gt;&lt;/Cite&gt;&lt;/EndNote&gt;</w:instrText>
      </w:r>
      <w:r w:rsidRPr="001C5F6C">
        <w:rPr>
          <w:lang w:val="en-US"/>
        </w:rPr>
        <w:fldChar w:fldCharType="separate"/>
      </w:r>
      <w:r w:rsidR="00CB2661">
        <w:rPr>
          <w:noProof/>
          <w:lang w:val="en-US"/>
        </w:rPr>
        <w:t>[4]</w:t>
      </w:r>
      <w:r w:rsidRPr="001C5F6C">
        <w:rPr>
          <w:lang w:val="en-US"/>
        </w:rPr>
        <w:fldChar w:fldCharType="end"/>
      </w:r>
      <w:r>
        <w:rPr>
          <w:lang w:val="en-US"/>
        </w:rPr>
        <w:t>.</w:t>
      </w:r>
      <w:r>
        <w:t xml:space="preserve"> Natural gas (41%), electricity (2</w:t>
      </w:r>
      <w:r w:rsidR="00513561">
        <w:t>0</w:t>
      </w:r>
      <w:r>
        <w:t>%), district heating (13 %), renewables (13 %), petroleum products (11</w:t>
      </w:r>
      <w:r w:rsidR="006F2770">
        <w:t>.</w:t>
      </w:r>
      <w:r w:rsidR="00513561">
        <w:t>5</w:t>
      </w:r>
      <w:r>
        <w:t>%) and solid fuels (1</w:t>
      </w:r>
      <w:r w:rsidR="006F2770">
        <w:t>.</w:t>
      </w:r>
      <w:r w:rsidR="00513561">
        <w:t>5</w:t>
      </w:r>
      <w:r>
        <w:t xml:space="preserve">%) </w:t>
      </w:r>
      <w:r w:rsidR="006F2770">
        <w:t>constitute</w:t>
      </w:r>
      <w:r>
        <w:t xml:space="preserve"> the energy consumption for DHW in</w:t>
      </w:r>
      <w:r w:rsidR="00F371DE">
        <w:t xml:space="preserve"> the</w:t>
      </w:r>
      <w:r>
        <w:t xml:space="preserve"> residential sector in </w:t>
      </w:r>
      <w:r>
        <w:lastRenderedPageBreak/>
        <w:t xml:space="preserve">the EU </w:t>
      </w:r>
      <w:r>
        <w:fldChar w:fldCharType="begin"/>
      </w:r>
      <w:r w:rsidR="00CB2661">
        <w:instrText xml:space="preserve"> ADDIN EN.CITE &lt;EndNote&gt;&lt;Cite&gt;&lt;Author&gt;Sarabia-Escriva&lt;/Author&gt;&lt;Year&gt;2023&lt;/Year&gt;&lt;RecNum&gt;473&lt;/RecNum&gt;&lt;DisplayText&gt;[5]&lt;/DisplayText&gt;&lt;record&gt;&lt;rec-number&gt;473&lt;/rec-number&gt;&lt;foreign-keys&gt;&lt;key app="EN" db-id="zvr0eev5awpfx9e9faavww2prtw2dpd9r5dr" timestamp="1692958652"&gt;473&lt;/key&gt;&lt;/foreign-keys&gt;&lt;ref-type name="Journal Article"&gt;17&lt;/ref-type&gt;&lt;contributors&gt;&lt;authors&gt;&lt;author&gt;Sarabia-Escriva, Emilio-José&lt;/author&gt;&lt;author&gt;Soto-Francés, Víctor-Manuel&lt;/author&gt;&lt;author&gt;Pinazo-Ojer, José-Manuel&lt;/author&gt;&lt;author&gt;Acha, Salvador&lt;/author&gt;&lt;/authors&gt;&lt;/contributors&gt;&lt;titles&gt;&lt;title&gt;Economic and environmental analysis of domestic hot water systems for single-family homes&lt;/title&gt;&lt;secondary-title&gt;Energy and Buildings&lt;/secondary-title&gt;&lt;/titles&gt;&lt;periodical&gt;&lt;full-title&gt;Energy and Buildings&lt;/full-title&gt;&lt;/periodical&gt;&lt;volume&gt;286&lt;/volume&gt;&lt;section&gt;112925&lt;/section&gt;&lt;dates&gt;&lt;year&gt;2023&lt;/year&gt;&lt;/dates&gt;&lt;isbn&gt;03787788&lt;/isbn&gt;&lt;urls&gt;&lt;/urls&gt;&lt;electronic-resource-num&gt;10.1016/j.enbuild.2023.112925&lt;/electronic-resource-num&gt;&lt;/record&gt;&lt;/Cite&gt;&lt;/EndNote&gt;</w:instrText>
      </w:r>
      <w:r>
        <w:fldChar w:fldCharType="separate"/>
      </w:r>
      <w:r w:rsidR="00CB2661">
        <w:rPr>
          <w:noProof/>
        </w:rPr>
        <w:t>[5]</w:t>
      </w:r>
      <w:r>
        <w:fldChar w:fldCharType="end"/>
      </w:r>
      <w:r>
        <w:t>. E</w:t>
      </w:r>
      <w:r w:rsidRPr="001C5F6C">
        <w:t>fficient and standardized DHW production can play a significant role in th</w:t>
      </w:r>
      <w:r>
        <w:t>e green</w:t>
      </w:r>
      <w:r w:rsidRPr="001C5F6C">
        <w:t xml:space="preserve"> transition</w:t>
      </w:r>
      <w:r w:rsidRPr="008F0E36">
        <w:t xml:space="preserve"> </w:t>
      </w:r>
      <w:r>
        <w:fldChar w:fldCharType="begin"/>
      </w:r>
      <w:r w:rsidR="00CB2661">
        <w:instrText xml:space="preserve"> ADDIN EN.CITE &lt;EndNote&gt;&lt;Cite&gt;&lt;Author&gt;Pomianowski&lt;/Author&gt;&lt;Year&gt;2020&lt;/Year&gt;&lt;RecNum&gt;471&lt;/RecNum&gt;&lt;DisplayText&gt;[6]&lt;/DisplayText&gt;&lt;record&gt;&lt;rec-number&gt;471&lt;/rec-number&gt;&lt;foreign-keys&gt;&lt;key app="EN" db-id="zvr0eev5awpfx9e9faavww2prtw2dpd9r5dr" timestamp="1692957670"&gt;471&lt;/key&gt;&lt;/foreign-keys&gt;&lt;ref-type name="Journal Article"&gt;17&lt;/ref-type&gt;&lt;contributors&gt;&lt;authors&gt;&lt;author&gt;Pomianowski, M. Z.&lt;/author&gt;&lt;author&gt;Johra, H.&lt;/author&gt;&lt;author&gt;Marszal-Pomianowska, A.&lt;/author&gt;&lt;author&gt;Zhang, C.&lt;/author&gt;&lt;/authors&gt;&lt;/contributors&gt;&lt;titles&gt;&lt;title&gt;Sustainable and energy-efficient domestic hot water systems: A review&lt;/title&gt;&lt;secondary-title&gt;Renewable and Sustainable Energy Reviews&lt;/secondary-title&gt;&lt;/titles&gt;&lt;periodical&gt;&lt;full-title&gt;Renewable and Sustainable Energy Reviews&lt;/full-title&gt;&lt;/periodical&gt;&lt;volume&gt;128&lt;/volume&gt;&lt;section&gt;109900&lt;/section&gt;&lt;dates&gt;&lt;year&gt;2020&lt;/year&gt;&lt;/dates&gt;&lt;isbn&gt;13640321&lt;/isbn&gt;&lt;urls&gt;&lt;/urls&gt;&lt;electronic-resource-num&gt;10.1016/j.rser.2020.109900&lt;/electronic-resource-num&gt;&lt;/record&gt;&lt;/Cite&gt;&lt;/EndNote&gt;</w:instrText>
      </w:r>
      <w:r>
        <w:fldChar w:fldCharType="separate"/>
      </w:r>
      <w:r w:rsidR="00CB2661">
        <w:rPr>
          <w:noProof/>
        </w:rPr>
        <w:t>[6]</w:t>
      </w:r>
      <w:r>
        <w:fldChar w:fldCharType="end"/>
      </w:r>
      <w:r w:rsidRPr="001C5F6C">
        <w:t>.</w:t>
      </w:r>
    </w:p>
    <w:p w14:paraId="32C68583" w14:textId="1D73C2E1" w:rsidR="009D1BD3" w:rsidRDefault="00D67D7E" w:rsidP="00F371DE">
      <w:pPr>
        <w:ind w:firstLine="284"/>
      </w:pPr>
      <w:r>
        <w:t>Th</w:t>
      </w:r>
      <w:r w:rsidR="009D1BD3" w:rsidRPr="00E829E2">
        <w:t>e heat pump</w:t>
      </w:r>
      <w:r>
        <w:t xml:space="preserve"> is a green production</w:t>
      </w:r>
      <w:r w:rsidR="009D1BD3" w:rsidRPr="00A14AB3">
        <w:t xml:space="preserve"> </w:t>
      </w:r>
      <w:r w:rsidR="009D1BD3" w:rsidRPr="00E829E2">
        <w:t>technology</w:t>
      </w:r>
      <w:r>
        <w:t xml:space="preserve"> </w:t>
      </w:r>
      <w:r>
        <w:fldChar w:fldCharType="begin"/>
      </w:r>
      <w:r>
        <w:instrText xml:space="preserve"> ADDIN EN.CITE &lt;EndNote&gt;&lt;Cite&gt;&lt;Author&gt;Liu&lt;/Author&gt;&lt;Year&gt;2022&lt;/Year&gt;&lt;RecNum&gt;476&lt;/RecNum&gt;&lt;DisplayText&gt;[7]&lt;/DisplayText&gt;&lt;record&gt;&lt;rec-number&gt;476&lt;/rec-number&gt;&lt;foreign-keys&gt;&lt;key app="EN" db-id="zvr0eev5awpfx9e9faavww2prtw2dpd9r5dr" timestamp="1692963289"&gt;476&lt;/key&gt;&lt;/foreign-keys&gt;&lt;ref-type name="Journal Article"&gt;17&lt;/ref-type&gt;&lt;contributors&gt;&lt;authors&gt;&lt;author&gt;Liu, Hongzhi&lt;/author&gt;&lt;author&gt;Katsura, Takao&lt;/author&gt;&lt;author&gt;Nagano, Katsunori&lt;/author&gt;&lt;/authors&gt;&lt;/contributors&gt;&lt;titles&gt;&lt;title&gt;An inverter-driven heat pump with a multi-tubular tube-in-tube heat exchanger for domestic hot water supply&lt;/title&gt;&lt;secondary-title&gt;Journal of Building Engineering&lt;/secondary-title&gt;&lt;/titles&gt;&lt;periodical&gt;&lt;full-title&gt;Journal of Building Engineering&lt;/full-title&gt;&lt;/periodical&gt;&lt;volume&gt;54&lt;/volume&gt;&lt;section&gt;104694&lt;/section&gt;&lt;dates&gt;&lt;year&gt;2022&lt;/year&gt;&lt;/dates&gt;&lt;isbn&gt;23527102&lt;/isbn&gt;&lt;urls&gt;&lt;/urls&gt;&lt;electronic-resource-num&gt;10.1016/j.jobe.2022.104694&lt;/electronic-resource-num&gt;&lt;/record&gt;&lt;/Cite&gt;&lt;/EndNote&gt;</w:instrText>
      </w:r>
      <w:r>
        <w:fldChar w:fldCharType="separate"/>
      </w:r>
      <w:r>
        <w:rPr>
          <w:noProof/>
        </w:rPr>
        <w:t>[7]</w:t>
      </w:r>
      <w:r>
        <w:fldChar w:fldCharType="end"/>
      </w:r>
      <w:r w:rsidRPr="00E829E2">
        <w:t xml:space="preserve"> </w:t>
      </w:r>
      <w:r w:rsidR="009D1BD3" w:rsidRPr="00E829E2">
        <w:t>that</w:t>
      </w:r>
      <w:r w:rsidR="009D1BD3">
        <w:t xml:space="preserve"> is becoming increasingly popular </w:t>
      </w:r>
      <w:r w:rsidR="009D1BD3" w:rsidRPr="00E829E2">
        <w:t>in heating and cooling applications</w:t>
      </w:r>
      <w:r w:rsidR="009D1BD3">
        <w:t xml:space="preserve"> </w:t>
      </w:r>
      <w:r w:rsidR="009D1BD3">
        <w:fldChar w:fldCharType="begin"/>
      </w:r>
      <w:r w:rsidR="00CB2661">
        <w:instrText xml:space="preserve"> ADDIN EN.CITE &lt;EndNote&gt;&lt;Cite&gt;&lt;Author&gt;You&lt;/Author&gt;&lt;Year&gt;2023&lt;/Year&gt;&lt;RecNum&gt;483&lt;/RecNum&gt;&lt;DisplayText&gt;[8]&lt;/DisplayText&gt;&lt;record&gt;&lt;rec-number&gt;483&lt;/rec-number&gt;&lt;foreign-keys&gt;&lt;key app="EN" db-id="zvr0eev5awpfx9e9faavww2prtw2dpd9r5dr" timestamp="1693042697"&gt;483&lt;/key&gt;&lt;/foreign-keys&gt;&lt;ref-type name="Journal Article"&gt;17&lt;/ref-type&gt;&lt;contributors&gt;&lt;authors&gt;&lt;author&gt;You, Tian&lt;/author&gt;&lt;author&gt;Wang, Fang&lt;/author&gt;&lt;/authors&gt;&lt;/contributors&gt;&lt;titles&gt;&lt;title&gt;Green ground source heat pump using various low-global-warming-potential refrigerants: Thermal imbalance and long-term performance&lt;/title&gt;&lt;secondary-title&gt;Renewable Energy&lt;/secondary-title&gt;&lt;/titles&gt;&lt;periodical&gt;&lt;full-title&gt;Renewable Energy&lt;/full-title&gt;&lt;/periodical&gt;&lt;pages&gt;159-173&lt;/pages&gt;&lt;volume&gt;210&lt;/volume&gt;&lt;section&gt;159&lt;/section&gt;&lt;dates&gt;&lt;year&gt;2023&lt;/year&gt;&lt;/dates&gt;&lt;isbn&gt;09601481&lt;/isbn&gt;&lt;urls&gt;&lt;/urls&gt;&lt;electronic-resource-num&gt;10.1016/j.renene.2023.04.058&lt;/electronic-resource-num&gt;&lt;/record&gt;&lt;/Cite&gt;&lt;/EndNote&gt;</w:instrText>
      </w:r>
      <w:r w:rsidR="009D1BD3">
        <w:fldChar w:fldCharType="separate"/>
      </w:r>
      <w:r w:rsidR="00CB2661">
        <w:rPr>
          <w:noProof/>
        </w:rPr>
        <w:t>[8]</w:t>
      </w:r>
      <w:r w:rsidR="009D1BD3">
        <w:fldChar w:fldCharType="end"/>
      </w:r>
      <w:r w:rsidR="009D1BD3" w:rsidRPr="00E829E2">
        <w:t xml:space="preserve">. An established guideline for </w:t>
      </w:r>
      <w:r w:rsidR="009D1BD3">
        <w:t xml:space="preserve">achieving an </w:t>
      </w:r>
      <w:r w:rsidR="009D1BD3" w:rsidRPr="00E829E2">
        <w:t>efficien</w:t>
      </w:r>
      <w:r w:rsidR="009D1BD3">
        <w:t>t</w:t>
      </w:r>
      <w:r w:rsidR="009D1BD3" w:rsidRPr="00E829E2">
        <w:t xml:space="preserve"> heat pump system is to minimize the temperature </w:t>
      </w:r>
      <w:r w:rsidR="009D1BD3">
        <w:t>lift</w:t>
      </w:r>
      <w:r w:rsidR="009D1BD3" w:rsidRPr="00E829E2">
        <w:t xml:space="preserve"> between the evaporator and the condenser</w:t>
      </w:r>
      <w:r w:rsidR="009D1BD3" w:rsidRPr="0078217D">
        <w:t xml:space="preserve"> </w:t>
      </w:r>
      <w:r w:rsidR="009D1BD3">
        <w:fldChar w:fldCharType="begin"/>
      </w:r>
      <w:r w:rsidR="00CB2661">
        <w:instrText xml:space="preserve"> ADDIN EN.CITE &lt;EndNote&gt;&lt;Cite&gt;&lt;Author&gt;Wu&lt;/Author&gt;&lt;Year&gt;2023&lt;/Year&gt;&lt;RecNum&gt;478&lt;/RecNum&gt;&lt;DisplayText&gt;[9]&lt;/DisplayText&gt;&lt;record&gt;&lt;rec-number&gt;478&lt;/rec-number&gt;&lt;foreign-keys&gt;&lt;key app="EN" db-id="zvr0eev5awpfx9e9faavww2prtw2dpd9r5dr" timestamp="1692963764"&gt;478&lt;/key&gt;&lt;/foreign-keys&gt;&lt;ref-type name="Journal Article"&gt;17&lt;/ref-type&gt;&lt;contributors&gt;&lt;authors&gt;&lt;author&gt;Wu, Jinxing&lt;/author&gt;&lt;author&gt;Sun, Shoujun&lt;/author&gt;&lt;author&gt;Song, Qinglu&lt;/author&gt;&lt;author&gt;Sun, Dandan&lt;/author&gt;&lt;author&gt;Wang, Dechang&lt;/author&gt;&lt;author&gt;Li, Jiaxu&lt;/author&gt;&lt;/authors&gt;&lt;/contributors&gt;&lt;titles&gt;&lt;title&gt;Energy, exergy, exergoeconomic and environmental (4E) analysis of cascade heat pump, recuperative heat pump and carbon dioxide heat pump with different temperature lifts&lt;/title&gt;&lt;secondary-title&gt;Renewable Energy&lt;/secondary-title&gt;&lt;/titles&gt;&lt;periodical&gt;&lt;full-title&gt;Renewable Energy&lt;/full-title&gt;&lt;/periodical&gt;&lt;pages&gt;407-421&lt;/pages&gt;&lt;volume&gt;207&lt;/volume&gt;&lt;section&gt;407&lt;/section&gt;&lt;dates&gt;&lt;year&gt;2023&lt;/year&gt;&lt;/dates&gt;&lt;isbn&gt;09601481&lt;/isbn&gt;&lt;urls&gt;&lt;/urls&gt;&lt;electronic-resource-num&gt;10.1016/j.renene.2023.03.028&lt;/electronic-resource-num&gt;&lt;/record&gt;&lt;/Cite&gt;&lt;/EndNote&gt;</w:instrText>
      </w:r>
      <w:r w:rsidR="009D1BD3">
        <w:fldChar w:fldCharType="separate"/>
      </w:r>
      <w:r w:rsidR="00CB2661">
        <w:rPr>
          <w:noProof/>
        </w:rPr>
        <w:t>[9]</w:t>
      </w:r>
      <w:r w:rsidR="009D1BD3">
        <w:fldChar w:fldCharType="end"/>
      </w:r>
      <w:r w:rsidR="009D1BD3" w:rsidRPr="00E829E2">
        <w:t xml:space="preserve">. Consequently, this principle poses challenges </w:t>
      </w:r>
      <w:r w:rsidR="006F2770">
        <w:t>when</w:t>
      </w:r>
      <w:r w:rsidR="009D1BD3" w:rsidRPr="00E829E2">
        <w:t xml:space="preserve"> </w:t>
      </w:r>
      <w:r w:rsidR="009D1BD3">
        <w:t>utilizing</w:t>
      </w:r>
      <w:r w:rsidR="009D1BD3" w:rsidRPr="00E829E2">
        <w:t xml:space="preserve"> </w:t>
      </w:r>
      <w:r w:rsidR="009D1BD3">
        <w:t xml:space="preserve">traditional </w:t>
      </w:r>
      <w:r w:rsidR="009D1BD3" w:rsidRPr="00E829E2">
        <w:t>heat pumps for DHW production, considering that a safe DHW temperature typically ranges between 60 and 70°C</w:t>
      </w:r>
      <w:r w:rsidR="009D1BD3">
        <w:t xml:space="preserve"> </w:t>
      </w:r>
      <w:r w:rsidR="009D1BD3">
        <w:fldChar w:fldCharType="begin"/>
      </w:r>
      <w:r w:rsidR="00CB2661">
        <w:instrText xml:space="preserve"> ADDIN EN.CITE &lt;EndNote&gt;&lt;Cite&gt;&lt;Author&gt;Lund&lt;/Author&gt;&lt;Year&gt;2020&lt;/Year&gt;&lt;RecNum&gt;474&lt;/RecNum&gt;&lt;DisplayText&gt;[10]&lt;/DisplayText&gt;&lt;record&gt;&lt;rec-number&gt;474&lt;/rec-number&gt;&lt;foreign-keys&gt;&lt;key app="EN" db-id="zvr0eev5awpfx9e9faavww2prtw2dpd9r5dr" timestamp="1692960287"&gt;474&lt;/key&gt;&lt;/foreign-keys&gt;&lt;ref-type name="Legal Rule or Regulation"&gt;50&lt;/ref-type&gt;&lt;contributors&gt;&lt;authors&gt;&lt;author&gt;Lund, Vidar &lt;/author&gt;&lt;author&gt;Ødegård Angeloff, Line &lt;/author&gt;&lt;/authors&gt;&lt;secondary-authors&gt;&lt;author&gt;NIPH  - Norwegian Institute of Public Health&lt;/author&gt;&lt;/secondary-authors&gt;&lt;/contributors&gt;&lt;titles&gt;&lt;title&gt;Legionellaveilederen - Fordelingsnett til dusjer og andre aerosoldannende tappepunkter&lt;/title&gt;&lt;/titles&gt;&lt;dates&gt;&lt;year&gt;2020&lt;/year&gt;&lt;/dates&gt;&lt;pub-location&gt;Oslo&lt;/pub-location&gt;&lt;publisher&gt;Folkehelseinstituttet&lt;/publisher&gt;&lt;urls&gt;&lt;related-urls&gt;&lt;url&gt;https://www.fhi.no/ss/legionella/legionellaveilederen/temakapitler/interne-vannfordelingsnett-som-forsyner-dusjer-og-andre-aerosoldannende-tappepunkter/?term=&lt;/url&gt;&lt;/related-urls&gt;&lt;/urls&gt;&lt;/record&gt;&lt;/Cite&gt;&lt;/EndNote&gt;</w:instrText>
      </w:r>
      <w:r w:rsidR="009D1BD3">
        <w:fldChar w:fldCharType="separate"/>
      </w:r>
      <w:r w:rsidR="00CB2661">
        <w:rPr>
          <w:noProof/>
        </w:rPr>
        <w:t>[10]</w:t>
      </w:r>
      <w:r w:rsidR="009D1BD3">
        <w:fldChar w:fldCharType="end"/>
      </w:r>
      <w:r w:rsidR="00AC59C8">
        <w:t>,</w:t>
      </w:r>
      <w:r w:rsidR="00AC59C8" w:rsidRPr="00AC59C8">
        <w:t xml:space="preserve"> </w:t>
      </w:r>
      <w:r w:rsidR="00AC59C8" w:rsidRPr="00A31215">
        <w:t>to prevent legionella bacteria growth</w:t>
      </w:r>
      <w:r w:rsidR="00AC59C8">
        <w:t xml:space="preserve"> </w:t>
      </w:r>
      <w:r w:rsidR="00AC59C8">
        <w:fldChar w:fldCharType="begin"/>
      </w:r>
      <w:r w:rsidR="00CB2661">
        <w:instrText xml:space="preserve"> ADDIN EN.CITE &lt;EndNote&gt;&lt;Cite&gt;&lt;Author&gt;Toffanin&lt;/Author&gt;&lt;Year&gt;2021&lt;/Year&gt;&lt;RecNum&gt;400&lt;/RecNum&gt;&lt;DisplayText&gt;[11]&lt;/DisplayText&gt;&lt;record&gt;&lt;rec-number&gt;400&lt;/rec-number&gt;&lt;foreign-keys&gt;&lt;key app="EN" db-id="zvr0eev5awpfx9e9faavww2prtw2dpd9r5dr" timestamp="1668940706"&gt;400&lt;/key&gt;&lt;/foreign-keys&gt;&lt;ref-type name="Journal Article"&gt;17&lt;/ref-type&gt;&lt;contributors&gt;&lt;authors&gt;&lt;author&gt;Toffanin, Riccardo&lt;/author&gt;&lt;author&gt;Curti, Vinicio&lt;/author&gt;&lt;author&gt;Barbato, Maurizio C.&lt;/author&gt;&lt;/authors&gt;&lt;/contributors&gt;&lt;titles&gt;&lt;title&gt;Impact of Legionella regulation on a 4th generation district heating substation energy use and cost: the case of a Swiss single-family household&lt;/title&gt;&lt;secondary-title&gt;Energy&lt;/secondary-title&gt;&lt;/titles&gt;&lt;periodical&gt;&lt;full-title&gt;Energy&lt;/full-title&gt;&lt;/periodical&gt;&lt;volume&gt;228&lt;/volume&gt;&lt;section&gt;120473&lt;/section&gt;&lt;dates&gt;&lt;year&gt;2021&lt;/year&gt;&lt;/dates&gt;&lt;isbn&gt;03605442&lt;/isbn&gt;&lt;urls&gt;&lt;/urls&gt;&lt;electronic-resource-num&gt;10.1016/j.energy.2021.120473&lt;/electronic-resource-num&gt;&lt;/record&gt;&lt;/Cite&gt;&lt;/EndNote&gt;</w:instrText>
      </w:r>
      <w:r w:rsidR="00AC59C8">
        <w:fldChar w:fldCharType="separate"/>
      </w:r>
      <w:r w:rsidR="00CB2661">
        <w:rPr>
          <w:noProof/>
        </w:rPr>
        <w:t>[11]</w:t>
      </w:r>
      <w:r w:rsidR="00AC59C8">
        <w:fldChar w:fldCharType="end"/>
      </w:r>
      <w:r w:rsidR="009D1BD3" w:rsidRPr="00E829E2">
        <w:t xml:space="preserve">. </w:t>
      </w:r>
    </w:p>
    <w:p w14:paraId="30EE42BE" w14:textId="610D6765" w:rsidR="00232FCF" w:rsidRDefault="006F2770" w:rsidP="00232FCF">
      <w:pPr>
        <w:ind w:firstLine="284"/>
      </w:pPr>
      <w:r w:rsidRPr="006F2770">
        <w:t>Moreover, there are concerted efforts within a growing segment of the heat pump industry to adopt refrigerants that mitigate environmental harm</w:t>
      </w:r>
      <w:r>
        <w:t xml:space="preserve"> </w:t>
      </w:r>
      <w:r w:rsidR="009D1BD3">
        <w:fldChar w:fldCharType="begin"/>
      </w:r>
      <w:r w:rsidR="00CB2661">
        <w:instrText xml:space="preserve"> ADDIN EN.CITE &lt;EndNote&gt;&lt;Cite&gt;&lt;Author&gt;Abas&lt;/Author&gt;&lt;Year&gt;2018&lt;/Year&gt;&lt;RecNum&gt;480&lt;/RecNum&gt;&lt;DisplayText&gt;[12]&lt;/DisplayText&gt;&lt;record&gt;&lt;rec-number&gt;480&lt;/rec-number&gt;&lt;foreign-keys&gt;&lt;key app="EN" db-id="zvr0eev5awpfx9e9faavww2prtw2dpd9r5dr" timestamp="1692980075"&gt;480&lt;/key&gt;&lt;/foreign-keys&gt;&lt;ref-type name="Journal Article"&gt;17&lt;/ref-type&gt;&lt;contributors&gt;&lt;authors&gt;&lt;author&gt;Abas, Naeem&lt;/author&gt;&lt;author&gt;Kalair, Ali Raza&lt;/author&gt;&lt;author&gt;Khan, Nasrullah&lt;/author&gt;&lt;author&gt;Haider, Aun&lt;/author&gt;&lt;author&gt;Saleem, Zahid&lt;/author&gt;&lt;author&gt;Saleem, Muhammad Shoaib&lt;/author&gt;&lt;/authors&gt;&lt;/contributors&gt;&lt;titles&gt;&lt;title&gt;Natural and synthetic refrigerants, global warming: A review&lt;/title&gt;&lt;secondary-title&gt;Renewable and Sustainable Energy Reviews&lt;/secondary-title&gt;&lt;/titles&gt;&lt;periodical&gt;&lt;full-title&gt;Renewable and Sustainable Energy Reviews&lt;/full-title&gt;&lt;/periodical&gt;&lt;pages&gt;557-569&lt;/pages&gt;&lt;volume&gt;90&lt;/volume&gt;&lt;section&gt;557&lt;/section&gt;&lt;dates&gt;&lt;year&gt;2018&lt;/year&gt;&lt;/dates&gt;&lt;isbn&gt;13640321&lt;/isbn&gt;&lt;urls&gt;&lt;/urls&gt;&lt;electronic-resource-num&gt;10.1016/j.rser.2018.03.099&lt;/electronic-resource-num&gt;&lt;/record&gt;&lt;/Cite&gt;&lt;/EndNote&gt;</w:instrText>
      </w:r>
      <w:r w:rsidR="009D1BD3">
        <w:fldChar w:fldCharType="separate"/>
      </w:r>
      <w:r w:rsidR="00CB2661">
        <w:rPr>
          <w:noProof/>
        </w:rPr>
        <w:t>[12]</w:t>
      </w:r>
      <w:r w:rsidR="009D1BD3">
        <w:fldChar w:fldCharType="end"/>
      </w:r>
      <w:r w:rsidR="009D1BD3" w:rsidRPr="00E829E2">
        <w:t>. While heat pumps are generally favoured over electric heaters and fossil-fuelled boilers due to their efficiency</w:t>
      </w:r>
      <w:r w:rsidR="009D1BD3">
        <w:t xml:space="preserve"> and reduction of greenhouse gas </w:t>
      </w:r>
      <w:r w:rsidR="009D1BD3" w:rsidRPr="003B7A04">
        <w:t xml:space="preserve">emissions </w:t>
      </w:r>
      <w:r w:rsidR="009D1BD3" w:rsidRPr="003B7A04">
        <w:fldChar w:fldCharType="begin"/>
      </w:r>
      <w:r w:rsidR="00CB2661">
        <w:instrText xml:space="preserve"> ADDIN EN.CITE &lt;EndNote&gt;&lt;Cite&gt;&lt;Author&gt;Xu&lt;/Author&gt;&lt;Year&gt;2021&lt;/Year&gt;&lt;RecNum&gt;45&lt;/RecNum&gt;&lt;DisplayText&gt;[13]&lt;/DisplayText&gt;&lt;record&gt;&lt;rec-number&gt;45&lt;/rec-number&gt;&lt;foreign-keys&gt;&lt;key app="EN" db-id="zvr0eev5awpfx9e9faavww2prtw2dpd9r5dr" timestamp="1636359273" guid="388f823f-9b8c-470e-8770-81cc3d7d2d2e"&gt;45&lt;/key&gt;&lt;/foreign-keys&gt;&lt;ref-type name="Journal Article"&gt;17&lt;/ref-type&gt;&lt;contributors&gt;&lt;authors&gt;&lt;author&gt;Xu, Yingjie&lt;/author&gt;&lt;author&gt;Mao, Chengbin&lt;/author&gt;&lt;author&gt;Huang, Yuangong&lt;/author&gt;&lt;author&gt;Shen, Xi&lt;/author&gt;&lt;author&gt;Xu, Xiaoxiao&lt;/author&gt;&lt;author&gt;Chen, Guangming&lt;/author&gt;&lt;/authors&gt;&lt;/contributors&gt;&lt;titles&gt;&lt;title&gt;Performance evaluation and multi-objective optimization of a low-temperature CO2 heat pump water heater based on artificial neural network and new economic analysis&lt;/title&gt;&lt;secondary-title&gt;Energy&lt;/secondary-title&gt;&lt;/titles&gt;&lt;periodical&gt;&lt;full-title&gt;Energy&lt;/full-title&gt;&lt;/periodical&gt;&lt;volume&gt;216&lt;/volume&gt;&lt;section&gt;119232&lt;/section&gt;&lt;dates&gt;&lt;year&gt;2021&lt;/year&gt;&lt;/dates&gt;&lt;isbn&gt;03605442&lt;/isbn&gt;&lt;urls&gt;&lt;/urls&gt;&lt;electronic-resource-num&gt;10.1016/j.energy.2020.119232&lt;/electronic-resource-num&gt;&lt;/record&gt;&lt;/Cite&gt;&lt;/EndNote&gt;</w:instrText>
      </w:r>
      <w:r w:rsidR="009D1BD3" w:rsidRPr="003B7A04">
        <w:fldChar w:fldCharType="separate"/>
      </w:r>
      <w:r w:rsidR="00CB2661">
        <w:rPr>
          <w:noProof/>
        </w:rPr>
        <w:t>[13]</w:t>
      </w:r>
      <w:r w:rsidR="009D1BD3" w:rsidRPr="003B7A04">
        <w:fldChar w:fldCharType="end"/>
      </w:r>
      <w:r w:rsidR="009D1BD3" w:rsidRPr="003B7A04">
        <w:t>,</w:t>
      </w:r>
      <w:r w:rsidR="009D1BD3" w:rsidRPr="00E829E2">
        <w:t xml:space="preserve"> </w:t>
      </w:r>
      <w:r w:rsidR="009D1BD3" w:rsidRPr="00586624">
        <w:t>the evolution of refrigerants has presented challenges. Earl</w:t>
      </w:r>
      <w:r w:rsidR="00871393">
        <w:t>y</w:t>
      </w:r>
      <w:r w:rsidR="009D1BD3" w:rsidRPr="00586624">
        <w:t xml:space="preserve"> refrigerants were phased out due to their </w:t>
      </w:r>
      <w:r w:rsidR="009D1BD3">
        <w:t xml:space="preserve">negative </w:t>
      </w:r>
      <w:r w:rsidR="009D1BD3" w:rsidRPr="00586624">
        <w:t>impact on the ozone layer</w:t>
      </w:r>
      <w:r w:rsidR="009D1BD3">
        <w:t>. S</w:t>
      </w:r>
      <w:r w:rsidR="009D1BD3" w:rsidRPr="00586624">
        <w:t xml:space="preserve">imilarly, hydrofluorocarbons (HFCs) are now being phased out </w:t>
      </w:r>
      <w:r>
        <w:t xml:space="preserve">due to </w:t>
      </w:r>
      <w:r w:rsidR="009D1BD3" w:rsidRPr="00586624">
        <w:t>their significant</w:t>
      </w:r>
      <w:r w:rsidR="009D1BD3">
        <w:t xml:space="preserve"> </w:t>
      </w:r>
      <w:r w:rsidR="009D1BD3" w:rsidRPr="00586624">
        <w:t xml:space="preserve">greenhouse gas </w:t>
      </w:r>
      <w:r w:rsidR="004938D2">
        <w:t xml:space="preserve">contribution </w:t>
      </w:r>
      <w:r w:rsidR="009D1BD3">
        <w:t>if</w:t>
      </w:r>
      <w:r w:rsidR="009D1BD3" w:rsidRPr="00586624">
        <w:t xml:space="preserve"> released into the </w:t>
      </w:r>
      <w:r w:rsidR="00871393">
        <w:t>atmosphere</w:t>
      </w:r>
      <w:r w:rsidR="009D1BD3" w:rsidRPr="00586624">
        <w:t xml:space="preserve"> </w:t>
      </w:r>
      <w:r w:rsidR="009D1BD3">
        <w:fldChar w:fldCharType="begin"/>
      </w:r>
      <w:r w:rsidR="00CB2661">
        <w:instrText xml:space="preserve"> ADDIN EN.CITE &lt;EndNote&gt;&lt;Cite&gt;&lt;Author&gt;Brodal&lt;/Author&gt;&lt;Year&gt;2019&lt;/Year&gt;&lt;RecNum&gt;459&lt;/RecNum&gt;&lt;DisplayText&gt;[14]&lt;/DisplayText&gt;&lt;record&gt;&lt;rec-number&gt;459&lt;/rec-number&gt;&lt;foreign-keys&gt;&lt;key app="EN" db-id="zvr0eev5awpfx9e9faavww2prtw2dpd9r5dr" timestamp="1692945509"&gt;459&lt;/key&gt;&lt;/foreign-keys&gt;&lt;ref-type name="Journal Article"&gt;17&lt;/ref-type&gt;&lt;contributors&gt;&lt;authors&gt;&lt;author&gt;Brodal, Eivind&lt;/author&gt;&lt;author&gt;Jackson, Steve&lt;/author&gt;&lt;/authors&gt;&lt;/contributors&gt;&lt;titles&gt;&lt;title&gt;A comparative study of CO2 heat pump performance for combined space and hot water heating&lt;/title&gt;&lt;secondary-title&gt;International Journal of Refrigeration&lt;/secondary-title&gt;&lt;/titles&gt;&lt;periodical&gt;&lt;full-title&gt;International Journal of Refrigeration&lt;/full-title&gt;&lt;/periodical&gt;&lt;pages&gt;234-245&lt;/pages&gt;&lt;volume&gt;108&lt;/volume&gt;&lt;section&gt;234&lt;/section&gt;&lt;dates&gt;&lt;year&gt;2019&lt;/year&gt;&lt;/dates&gt;&lt;isbn&gt;01407007&lt;/isbn&gt;&lt;urls&gt;&lt;/urls&gt;&lt;electronic-resource-num&gt;10.1016/j.ijrefrig.2019.08.019&lt;/electronic-resource-num&gt;&lt;/record&gt;&lt;/Cite&gt;&lt;/EndNote&gt;</w:instrText>
      </w:r>
      <w:r w:rsidR="009D1BD3">
        <w:fldChar w:fldCharType="separate"/>
      </w:r>
      <w:r w:rsidR="00CB2661">
        <w:rPr>
          <w:noProof/>
        </w:rPr>
        <w:t>[14]</w:t>
      </w:r>
      <w:r w:rsidR="009D1BD3">
        <w:fldChar w:fldCharType="end"/>
      </w:r>
      <w:r w:rsidR="009D1BD3" w:rsidRPr="00E829E2">
        <w:t>.</w:t>
      </w:r>
      <w:r w:rsidR="009D1BD3">
        <w:t xml:space="preserve"> E</w:t>
      </w:r>
      <w:r w:rsidR="009D1BD3" w:rsidRPr="00586624">
        <w:t>ven the contemporary "low-GWP</w:t>
      </w:r>
      <w:r w:rsidR="009D1BD3">
        <w:t>”</w:t>
      </w:r>
      <w:r w:rsidR="009D1BD3" w:rsidRPr="00586624">
        <w:t xml:space="preserve"> alternatives</w:t>
      </w:r>
      <w:r>
        <w:t>,</w:t>
      </w:r>
      <w:r w:rsidR="009D1BD3" w:rsidRPr="00586624">
        <w:t xml:space="preserve"> like </w:t>
      </w:r>
      <w:proofErr w:type="spellStart"/>
      <w:r w:rsidR="009D1BD3" w:rsidRPr="00586624">
        <w:t>hydrofluoroolefins</w:t>
      </w:r>
      <w:proofErr w:type="spellEnd"/>
      <w:r w:rsidR="009D1BD3" w:rsidRPr="00586624">
        <w:t xml:space="preserve"> (HFOs)</w:t>
      </w:r>
      <w:r>
        <w:t>,</w:t>
      </w:r>
      <w:r w:rsidR="009D1BD3" w:rsidRPr="00586624">
        <w:t xml:space="preserve"> come with potential issues. </w:t>
      </w:r>
      <w:r w:rsidR="009D1BD3">
        <w:t>T</w:t>
      </w:r>
      <w:r w:rsidR="009D1BD3" w:rsidRPr="00586624">
        <w:t>heir degradation products, such as trifluoroacetic aci</w:t>
      </w:r>
      <w:r w:rsidR="009D1BD3">
        <w:t>d</w:t>
      </w:r>
      <w:r w:rsidR="00232FCF">
        <w:t>,</w:t>
      </w:r>
      <w:r w:rsidR="009D1BD3" w:rsidRPr="00586624">
        <w:t xml:space="preserve"> can pose environmental risks </w:t>
      </w:r>
      <w:r w:rsidR="009D1BD3">
        <w:fldChar w:fldCharType="begin"/>
      </w:r>
      <w:r w:rsidR="00CB2661">
        <w:instrText xml:space="preserve"> ADDIN EN.CITE &lt;EndNote&gt;&lt;Cite&gt;&lt;Author&gt;Dudita&lt;/Author&gt;&lt;Year&gt;2021&lt;/Year&gt;&lt;RecNum&gt;468&lt;/RecNum&gt;&lt;DisplayText&gt;[15]&lt;/DisplayText&gt;&lt;record&gt;&lt;rec-number&gt;468&lt;/rec-number&gt;&lt;foreign-keys&gt;&lt;key app="EN" db-id="zvr0eev5awpfx9e9faavww2prtw2dpd9r5dr" timestamp="1692947203"&gt;468&lt;/key&gt;&lt;/foreign-keys&gt;&lt;ref-type name="Web Page"&gt;12&lt;/ref-type&gt;&lt;contributors&gt;&lt;authors&gt;&lt;author&gt;Dudita,Mihaela &lt;/author&gt;&lt;author&gt;Kauffeld,Michael&lt;/author&gt;&lt;/authors&gt;&lt;/contributors&gt;&lt;titles&gt;&lt;title&gt;Environmental impact of HFO refrigerants &amp;amp;alternatives for the future&lt;/title&gt;&lt;/titles&gt;&lt;dates&gt;&lt;year&gt;2021&lt;/year&gt;&lt;pub-dates&gt;&lt;date&gt;FRIDAY, AUGUST 25, 2023&lt;/date&gt;&lt;/pub-dates&gt;&lt;/dates&gt;&lt;publisher&gt;Open Access Government&lt;/publisher&gt;&lt;urls&gt;&lt;/urls&gt;&lt;/record&gt;&lt;/Cite&gt;&lt;/EndNote&gt;</w:instrText>
      </w:r>
      <w:r w:rsidR="009D1BD3">
        <w:fldChar w:fldCharType="separate"/>
      </w:r>
      <w:r w:rsidR="00CB2661">
        <w:rPr>
          <w:noProof/>
        </w:rPr>
        <w:t>[15]</w:t>
      </w:r>
      <w:r w:rsidR="009D1BD3">
        <w:fldChar w:fldCharType="end"/>
      </w:r>
      <w:r w:rsidR="009D1BD3">
        <w:t xml:space="preserve">. </w:t>
      </w:r>
      <w:r w:rsidR="009D1BD3" w:rsidRPr="00E829E2">
        <w:t>Natural refrigerants</w:t>
      </w:r>
      <w:r w:rsidR="009D1BD3">
        <w:t xml:space="preserve"> on the other hand,</w:t>
      </w:r>
      <w:r w:rsidR="009D1BD3" w:rsidRPr="00E829E2">
        <w:t xml:space="preserve"> have been found to offer comparable, if not superior, performance to HFCs</w:t>
      </w:r>
      <w:r w:rsidR="009D1BD3">
        <w:t xml:space="preserve"> and HFOs</w:t>
      </w:r>
      <w:r w:rsidR="009D1BD3" w:rsidRPr="00E829E2">
        <w:t xml:space="preserve">, while significantly </w:t>
      </w:r>
      <w:r w:rsidR="00344D66">
        <w:t>reducing</w:t>
      </w:r>
      <w:r w:rsidR="009D1BD3" w:rsidRPr="00E829E2">
        <w:t xml:space="preserve"> the associated environmental drawbacks </w:t>
      </w:r>
      <w:r w:rsidR="009D1BD3">
        <w:fldChar w:fldCharType="begin"/>
      </w:r>
      <w:r w:rsidR="00CB2661">
        <w:instrText xml:space="preserve"> ADDIN EN.CITE &lt;EndNote&gt;&lt;Cite&gt;&lt;Author&gt;Mancinelli&lt;/Author&gt;&lt;Year&gt;2023&lt;/Year&gt;&lt;RecNum&gt;449&lt;/RecNum&gt;&lt;DisplayText&gt;[16]&lt;/DisplayText&gt;&lt;record&gt;&lt;rec-number&gt;449&lt;/rec-number&gt;&lt;foreign-keys&gt;&lt;key app="EN" db-id="zvr0eev5awpfx9e9faavww2prtw2dpd9r5dr" timestamp="1691842198"&gt;449&lt;/key&gt;&lt;/foreign-keys&gt;&lt;ref-type name="Journal Article"&gt;17&lt;/ref-type&gt;&lt;contributors&gt;&lt;authors&gt;&lt;author&gt;Mancinelli, Chiara&lt;/author&gt;&lt;author&gt;Manno, Michele&lt;/author&gt;&lt;author&gt;Salvatori, Marco&lt;/author&gt;&lt;author&gt;Zaccagnini, Alessandro&lt;/author&gt;&lt;/authors&gt;&lt;/contributors&gt;&lt;titles&gt;&lt;title&gt;Thermal Energy Storage as a Way to Improve Transcritical CO2 Heat Pump Performance by Means of Heat Recovery Cycles&lt;/title&gt;&lt;secondary-title&gt;Energy Storage and Saving&lt;/secondary-title&gt;&lt;/titles&gt;&lt;periodical&gt;&lt;full-title&gt;Energy Storage and Saving&lt;/full-title&gt;&lt;/periodical&gt;&lt;dates&gt;&lt;year&gt;2023&lt;/year&gt;&lt;/dates&gt;&lt;isbn&gt;27726835&lt;/isbn&gt;&lt;urls&gt;&lt;/urls&gt;&lt;electronic-resource-num&gt;10.1016/j.enss.2023.06.003&lt;/electronic-resource-num&gt;&lt;/record&gt;&lt;/Cite&gt;&lt;/EndNote&gt;</w:instrText>
      </w:r>
      <w:r w:rsidR="009D1BD3">
        <w:fldChar w:fldCharType="separate"/>
      </w:r>
      <w:r w:rsidR="00CB2661">
        <w:rPr>
          <w:noProof/>
        </w:rPr>
        <w:t>[16]</w:t>
      </w:r>
      <w:r w:rsidR="009D1BD3">
        <w:fldChar w:fldCharType="end"/>
      </w:r>
      <w:r w:rsidR="009D1BD3" w:rsidRPr="00E829E2">
        <w:t>. Among these, ammonia, propane, and CO</w:t>
      </w:r>
      <w:r w:rsidR="009D1BD3" w:rsidRPr="00C31028">
        <w:rPr>
          <w:vertAlign w:val="subscript"/>
        </w:rPr>
        <w:t>2</w:t>
      </w:r>
      <w:r w:rsidR="009D1BD3" w:rsidRPr="00E829E2">
        <w:t xml:space="preserve"> stand out as the commercially</w:t>
      </w:r>
      <w:r w:rsidR="009D1BD3">
        <w:t xml:space="preserve"> </w:t>
      </w:r>
      <w:r w:rsidR="009D1BD3" w:rsidRPr="00E829E2">
        <w:t>viable options, each presenting distinct advantages and challenges</w:t>
      </w:r>
      <w:r w:rsidR="009D1BD3" w:rsidRPr="006B612D">
        <w:t xml:space="preserve"> </w:t>
      </w:r>
      <w:r w:rsidR="009D1BD3">
        <w:fldChar w:fldCharType="begin"/>
      </w:r>
      <w:r w:rsidR="00CB2661">
        <w:instrText xml:space="preserve"> ADDIN EN.CITE &lt;EndNote&gt;&lt;Cite&gt;&lt;Author&gt;Ciconkov&lt;/Author&gt;&lt;Year&gt;2018&lt;/Year&gt;&lt;RecNum&gt;481&lt;/RecNum&gt;&lt;DisplayText&gt;[17]&lt;/DisplayText&gt;&lt;record&gt;&lt;rec-number&gt;481&lt;/rec-number&gt;&lt;foreign-keys&gt;&lt;key app="EN" db-id="zvr0eev5awpfx9e9faavww2prtw2dpd9r5dr" timestamp="1692980350"&gt;481&lt;/key&gt;&lt;/foreign-keys&gt;&lt;ref-type name="Journal Article"&gt;17&lt;/ref-type&gt;&lt;contributors&gt;&lt;authors&gt;&lt;author&gt;Ciconkov, Risto&lt;/author&gt;&lt;/authors&gt;&lt;/contributors&gt;&lt;titles&gt;&lt;title&gt;Refrigerants: There is still no vision for sustainable solutions&lt;/title&gt;&lt;secondary-title&gt;International Journal of Refrigeration&lt;/secondary-title&gt;&lt;/titles&gt;&lt;periodical&gt;&lt;full-title&gt;International Journal of Refrigeration&lt;/full-title&gt;&lt;/periodical&gt;&lt;pages&gt;441-448&lt;/pages&gt;&lt;volume&gt;86&lt;/volume&gt;&lt;section&gt;441&lt;/section&gt;&lt;dates&gt;&lt;year&gt;2018&lt;/year&gt;&lt;/dates&gt;&lt;isbn&gt;01407007&lt;/isbn&gt;&lt;urls&gt;&lt;/urls&gt;&lt;electronic-resource-num&gt;10.1016/j.ijrefrig.2017.12.006&lt;/electronic-resource-num&gt;&lt;/record&gt;&lt;/Cite&gt;&lt;/EndNote&gt;</w:instrText>
      </w:r>
      <w:r w:rsidR="009D1BD3">
        <w:fldChar w:fldCharType="separate"/>
      </w:r>
      <w:r w:rsidR="00CB2661">
        <w:rPr>
          <w:noProof/>
        </w:rPr>
        <w:t>[17]</w:t>
      </w:r>
      <w:r w:rsidR="009D1BD3">
        <w:fldChar w:fldCharType="end"/>
      </w:r>
      <w:r w:rsidR="009D1BD3" w:rsidRPr="00E829E2">
        <w:t>.</w:t>
      </w:r>
    </w:p>
    <w:p w14:paraId="3B30BB1E" w14:textId="23231CCA" w:rsidR="00AC59C8" w:rsidRDefault="009D1BD3" w:rsidP="00232FCF">
      <w:pPr>
        <w:ind w:firstLine="284"/>
      </w:pPr>
      <w:r w:rsidRPr="00994EA5">
        <w:t>Heat pumps that operate with CO</w:t>
      </w:r>
      <w:r w:rsidRPr="00486835">
        <w:rPr>
          <w:vertAlign w:val="subscript"/>
        </w:rPr>
        <w:t xml:space="preserve">2 </w:t>
      </w:r>
      <w:r w:rsidRPr="00994EA5">
        <w:t xml:space="preserve">as refrigerant have garnered significant interest as a sustainable and efficient </w:t>
      </w:r>
      <w:r w:rsidR="00344D66">
        <w:t>alternative</w:t>
      </w:r>
      <w:r w:rsidRPr="00994EA5">
        <w:t xml:space="preserve"> for DHW production </w:t>
      </w:r>
      <w:r>
        <w:fldChar w:fldCharType="begin"/>
      </w:r>
      <w:r w:rsidR="00CB2661">
        <w:instrText xml:space="preserve"> ADDIN EN.CITE &lt;EndNote&gt;&lt;Cite&gt;&lt;Author&gt;Zhao&lt;/Author&gt;&lt;Year&gt;2023&lt;/Year&gt;&lt;RecNum&gt;448&lt;/RecNum&gt;&lt;DisplayText&gt;[18]&lt;/DisplayText&gt;&lt;record&gt;&lt;rec-number&gt;448&lt;/rec-number&gt;&lt;foreign-keys&gt;&lt;key app="EN" db-id="zvr0eev5awpfx9e9faavww2prtw2dpd9r5dr" timestamp="1691842187"&gt;448&lt;/key&gt;&lt;/foreign-keys&gt;&lt;ref-type name="Journal Article"&gt;17&lt;/ref-type&gt;&lt;contributors&gt;&lt;authors&gt;&lt;author&gt;Zhao, Xiao-Xuan&lt;/author&gt;&lt;author&gt;He, Yu-Jia&lt;/author&gt;&lt;author&gt;Cheng, Jia-Hao&lt;/author&gt;&lt;author&gt;Zhang, Chun-Lu&lt;/author&gt;&lt;/authors&gt;&lt;/contributors&gt;&lt;titles&gt;&lt;title&gt;Long-term performance evaluation of CO2 heat pump water heater under different discharge pressure control strategies&lt;/title&gt;&lt;secondary-title&gt;Applied Thermal Engineering&lt;/secondary-title&gt;&lt;/titles&gt;&lt;periodical&gt;&lt;full-title&gt;Applied Thermal Engineering&lt;/full-title&gt;&lt;/periodical&gt;&lt;volume&gt;222&lt;/volume&gt;&lt;section&gt;119918&lt;/section&gt;&lt;dates&gt;&lt;year&gt;2023&lt;/year&gt;&lt;/dates&gt;&lt;isbn&gt;13594311&lt;/isbn&gt;&lt;urls&gt;&lt;/urls&gt;&lt;electronic-resource-num&gt;10.1016/j.applthermaleng.2022.119918&lt;/electronic-resource-num&gt;&lt;/record&gt;&lt;/Cite&gt;&lt;/EndNote&gt;</w:instrText>
      </w:r>
      <w:r>
        <w:fldChar w:fldCharType="separate"/>
      </w:r>
      <w:r w:rsidR="00CB2661">
        <w:rPr>
          <w:noProof/>
        </w:rPr>
        <w:t>[18]</w:t>
      </w:r>
      <w:r>
        <w:fldChar w:fldCharType="end"/>
      </w:r>
      <w:r w:rsidRPr="00A20C31">
        <w:t xml:space="preserve">. </w:t>
      </w:r>
      <w:r w:rsidRPr="00374838">
        <w:t xml:space="preserve">Unlike </w:t>
      </w:r>
      <w:r w:rsidR="006F2770">
        <w:t xml:space="preserve">the </w:t>
      </w:r>
      <w:r w:rsidRPr="00374838">
        <w:t>conventional heat pump processes, which reject heat at a constant temperature through condensation, CO</w:t>
      </w:r>
      <w:r w:rsidRPr="00374838">
        <w:rPr>
          <w:vertAlign w:val="subscript"/>
        </w:rPr>
        <w:t>2</w:t>
      </w:r>
      <w:r w:rsidRPr="00374838">
        <w:t>-based heat rejection can occur in a supercritical state, releasing heat at a variable or "gliding" temperature</w:t>
      </w:r>
      <w:r w:rsidR="00AC59C8">
        <w:t>.</w:t>
      </w:r>
      <w:r w:rsidRPr="008968FD">
        <w:t xml:space="preserve"> </w:t>
      </w:r>
      <w:r w:rsidRPr="00374838">
        <w:t xml:space="preserve">Such a process can reach the necessary temperatures for DHW </w:t>
      </w:r>
      <w:r>
        <w:t xml:space="preserve">production </w:t>
      </w:r>
      <w:r w:rsidRPr="00374838">
        <w:t>while maintaining standard heat pump efficiency</w:t>
      </w:r>
      <w:r w:rsidR="00AC59C8">
        <w:t xml:space="preserve"> </w:t>
      </w:r>
      <w:r w:rsidR="00AC59C8">
        <w:fldChar w:fldCharType="begin"/>
      </w:r>
      <w:r w:rsidR="00CB2661">
        <w:instrText xml:space="preserve"> ADDIN EN.CITE &lt;EndNote&gt;&lt;Cite&gt;&lt;Author&gt;Lorentzen&lt;/Author&gt;&lt;Year&gt;1994&lt;/Year&gt;&lt;RecNum&gt;482&lt;/RecNum&gt;&lt;DisplayText&gt;[19]&lt;/DisplayText&gt;&lt;record&gt;&lt;rec-number&gt;482&lt;/rec-number&gt;&lt;foreign-keys&gt;&lt;key app="EN" db-id="zvr0eev5awpfx9e9faavww2prtw2dpd9r5dr" timestamp="1692980658"&gt;482&lt;/key&gt;&lt;/foreign-keys&gt;&lt;ref-type name="Journal Article"&gt;17&lt;/ref-type&gt;&lt;contributors&gt;&lt;authors&gt;&lt;author&gt;Lorentzen, Gustav &lt;/author&gt;&lt;/authors&gt;&lt;/contributors&gt;&lt;titles&gt;&lt;title&gt;Revival of carbon dioxide as a refrigerant&lt;/title&gt;&lt;secondary-title&gt;International Journal of Refrigeration&lt;/secondary-title&gt;&lt;/titles&gt;&lt;periodical&gt;&lt;full-title&gt;International Journal of Refrigeration&lt;/full-title&gt;&lt;/periodical&gt;&lt;pages&gt;292-301&lt;/pages&gt;&lt;volume&gt;17&lt;/volume&gt;&lt;number&gt;5&lt;/number&gt;&lt;dates&gt;&lt;year&gt;1994&lt;/year&gt;&lt;/dates&gt;&lt;isbn&gt;0140-7007&lt;/isbn&gt;&lt;urls&gt;&lt;/urls&gt;&lt;electronic-resource-num&gt;https://doi.org/10.1016/0140-7007(94)90059-0.&lt;/electronic-resource-num&gt;&lt;/record&gt;&lt;/Cite&gt;&lt;/EndNote&gt;</w:instrText>
      </w:r>
      <w:r w:rsidR="00AC59C8">
        <w:fldChar w:fldCharType="separate"/>
      </w:r>
      <w:r w:rsidR="00CB2661">
        <w:rPr>
          <w:noProof/>
        </w:rPr>
        <w:t>[19]</w:t>
      </w:r>
      <w:r w:rsidR="00AC59C8">
        <w:fldChar w:fldCharType="end"/>
      </w:r>
      <w:r w:rsidRPr="00374838">
        <w:t xml:space="preserve">. </w:t>
      </w:r>
      <w:r w:rsidR="006F2770" w:rsidRPr="006F2770">
        <w:t>Optimal performance, characterized by a high Coefficient of Performance (COP), is achieved by managing gas cooler pressures to ensure a low outlet temperature for the CO</w:t>
      </w:r>
      <w:r w:rsidR="006F2770" w:rsidRPr="00D67D7E">
        <w:rPr>
          <w:vertAlign w:val="subscript"/>
        </w:rPr>
        <w:t>2</w:t>
      </w:r>
      <w:r w:rsidR="006F2770" w:rsidRPr="006F2770">
        <w:t xml:space="preserve"> gas; this parameter is significantly influenced by non-linear cooling curves near the critical point</w:t>
      </w:r>
      <w:r w:rsidR="006F2770">
        <w:t xml:space="preserve"> </w:t>
      </w:r>
      <w:r w:rsidR="00AC59C8">
        <w:rPr>
          <w:lang w:val="en-US"/>
        </w:rPr>
        <w:fldChar w:fldCharType="begin"/>
      </w:r>
      <w:r w:rsidR="00CB2661">
        <w:rPr>
          <w:lang w:val="en-US"/>
        </w:rPr>
        <w:instrText xml:space="preserve"> ADDIN EN.CITE &lt;EndNote&gt;&lt;Cite&gt;&lt;Author&gt;Stene&lt;/Author&gt;&lt;Year&gt;2004&lt;/Year&gt;&lt;RecNum&gt;465&lt;/RecNum&gt;&lt;DisplayText&gt;[20]&lt;/DisplayText&gt;&lt;record&gt;&lt;rec-number&gt;465&lt;/rec-number&gt;&lt;foreign-keys&gt;&lt;key app="EN" db-id="zvr0eev5awpfx9e9faavww2prtw2dpd9r5dr" timestamp="1692945659"&gt;465&lt;/key&gt;&lt;/foreign-keys&gt;&lt;ref-type name="Thesis"&gt;32&lt;/ref-type&gt;&lt;contributors&gt;&lt;authors&gt;&lt;author&gt;Stene, Jørn&lt;/author&gt;&lt;/authors&gt;&lt;/contributors&gt;&lt;titles&gt;&lt;title&gt;Residential CO2 Heat Pump System for Combined Space Heating and Hot Water Heating&lt;/title&gt;&lt;secondary-title&gt;Department of Energy and Process Engineering&lt;/secondary-title&gt;&lt;/titles&gt;&lt;volume&gt;Degree of Doktor Ingeniør&lt;/volume&gt;&lt;dates&gt;&lt;year&gt;2004&lt;/year&gt;&lt;/dates&gt;&lt;publisher&gt;NTNU - Norwegian University of Science and Technology Faculty of Engineering Science and Technology&lt;/publisher&gt;&lt;urls&gt;&lt;/urls&gt;&lt;/record&gt;&lt;/Cite&gt;&lt;/EndNote&gt;</w:instrText>
      </w:r>
      <w:r w:rsidR="00AC59C8">
        <w:rPr>
          <w:lang w:val="en-US"/>
        </w:rPr>
        <w:fldChar w:fldCharType="separate"/>
      </w:r>
      <w:r w:rsidR="00CB2661">
        <w:rPr>
          <w:noProof/>
          <w:lang w:val="en-US"/>
        </w:rPr>
        <w:t>[20]</w:t>
      </w:r>
      <w:r w:rsidR="00AC59C8">
        <w:rPr>
          <w:lang w:val="en-US"/>
        </w:rPr>
        <w:fldChar w:fldCharType="end"/>
      </w:r>
      <w:r w:rsidR="00AC59C8" w:rsidRPr="00A31215">
        <w:t xml:space="preserve">. </w:t>
      </w:r>
    </w:p>
    <w:p w14:paraId="571CED96" w14:textId="7A3A69B0" w:rsidR="00AC59C8" w:rsidRDefault="00AC59C8" w:rsidP="00BA292E">
      <w:pPr>
        <w:ind w:firstLine="284"/>
      </w:pPr>
      <w:r>
        <w:t>B</w:t>
      </w:r>
      <w:r w:rsidR="009D1BD3" w:rsidRPr="00374838">
        <w:t xml:space="preserve">y </w:t>
      </w:r>
      <w:r w:rsidR="009D1BD3">
        <w:t>distributing</w:t>
      </w:r>
      <w:r w:rsidR="009D1BD3" w:rsidRPr="00374838">
        <w:t xml:space="preserve"> the heat rejection over multiple gas coolers, the CO</w:t>
      </w:r>
      <w:r w:rsidR="009D1BD3" w:rsidRPr="00374838">
        <w:rPr>
          <w:vertAlign w:val="subscript"/>
        </w:rPr>
        <w:t>2</w:t>
      </w:r>
      <w:r w:rsidR="009D1BD3" w:rsidRPr="00374838">
        <w:t xml:space="preserve"> heat pump can be adapted for </w:t>
      </w:r>
      <w:r w:rsidR="009D1BD3">
        <w:t>space</w:t>
      </w:r>
      <w:r w:rsidR="009D1BD3" w:rsidRPr="00374838">
        <w:t xml:space="preserve"> heating. However, the need for a low gas cooler outlet temperature to achieve </w:t>
      </w:r>
      <w:r w:rsidR="009D1BD3">
        <w:t>high</w:t>
      </w:r>
      <w:r w:rsidR="009D1BD3" w:rsidRPr="00374838">
        <w:t xml:space="preserve"> process efficiency </w:t>
      </w:r>
      <w:r w:rsidR="00232FCF">
        <w:t xml:space="preserve">may be a challenge when combined </w:t>
      </w:r>
      <w:r w:rsidR="009D1BD3" w:rsidRPr="00374838">
        <w:t>with</w:t>
      </w:r>
      <w:r w:rsidR="00232FCF">
        <w:t xml:space="preserve"> the</w:t>
      </w:r>
      <w:r w:rsidR="009D1BD3" w:rsidRPr="00374838">
        <w:t xml:space="preserve"> temperature</w:t>
      </w:r>
      <w:r w:rsidR="009D1BD3">
        <w:t xml:space="preserve"> levels</w:t>
      </w:r>
      <w:r w:rsidR="009D1BD3" w:rsidRPr="00374838">
        <w:t xml:space="preserve"> used in traditional space heating</w:t>
      </w:r>
      <w:r w:rsidR="009D1BD3" w:rsidRPr="00B800F6">
        <w:t xml:space="preserve"> </w:t>
      </w:r>
      <w:r w:rsidR="009D1BD3">
        <w:fldChar w:fldCharType="begin"/>
      </w:r>
      <w:r w:rsidR="00CB2661">
        <w:instrText xml:space="preserve"> ADDIN EN.CITE &lt;EndNote&gt;&lt;Cite&gt;&lt;Author&gt;Cheng&lt;/Author&gt;&lt;Year&gt;2021&lt;/Year&gt;&lt;RecNum&gt;488&lt;/RecNum&gt;&lt;DisplayText&gt;[21]&lt;/DisplayText&gt;&lt;record&gt;&lt;rec-number&gt;488&lt;/rec-number&gt;&lt;foreign-keys&gt;&lt;key app="EN" db-id="zvr0eev5awpfx9e9faavww2prtw2dpd9r5dr" timestamp="1693080558"&gt;488&lt;/key&gt;&lt;/foreign-keys&gt;&lt;ref-type name="Journal Article"&gt;17&lt;/ref-type&gt;&lt;contributors&gt;&lt;authors&gt;&lt;author&gt;Cheng, Jia-Hao&lt;/author&gt;&lt;author&gt;He, Yu-Jia&lt;/author&gt;&lt;author&gt;Zhang, Chun-Lu&lt;/author&gt;&lt;/authors&gt;&lt;/contributors&gt;&lt;titles&gt;&lt;title&gt;New scenario of CO2 heat pump for space heating: Automatic mode switch between modified transcritical and cascade cycle in one system&lt;/title&gt;&lt;secondary-title&gt;Applied Thermal Engineering&lt;/secondary-title&gt;&lt;/titles&gt;&lt;periodical&gt;&lt;full-title&gt;Applied Thermal Engineering&lt;/full-title&gt;&lt;/periodical&gt;&lt;volume&gt;191&lt;/volume&gt;&lt;section&gt;116864&lt;/section&gt;&lt;dates&gt;&lt;year&gt;2021&lt;/year&gt;&lt;/dates&gt;&lt;isbn&gt;13594311&lt;/isbn&gt;&lt;urls&gt;&lt;/urls&gt;&lt;electronic-resource-num&gt;10.1016/j.applthermaleng.2021.116864&lt;/electronic-resource-num&gt;&lt;/record&gt;&lt;/Cite&gt;&lt;/EndNote&gt;</w:instrText>
      </w:r>
      <w:r w:rsidR="009D1BD3">
        <w:fldChar w:fldCharType="separate"/>
      </w:r>
      <w:r w:rsidR="00CB2661">
        <w:rPr>
          <w:noProof/>
        </w:rPr>
        <w:t>[21]</w:t>
      </w:r>
      <w:r w:rsidR="009D1BD3">
        <w:fldChar w:fldCharType="end"/>
      </w:r>
      <w:r>
        <w:t>, which typically</w:t>
      </w:r>
      <w:r w:rsidR="00232FCF">
        <w:t xml:space="preserve"> range</w:t>
      </w:r>
      <w:r w:rsidR="00232FCF" w:rsidRPr="00A31215">
        <w:t xml:space="preserve"> betwee</w:t>
      </w:r>
      <w:r w:rsidR="00232FCF">
        <w:t>n</w:t>
      </w:r>
      <w:r w:rsidR="00232FCF" w:rsidRPr="00A31215">
        <w:t xml:space="preserve"> 30</w:t>
      </w:r>
      <w:r w:rsidR="006F2770">
        <w:t>-60</w:t>
      </w:r>
      <w:r w:rsidR="00232FCF" w:rsidRPr="00A31215">
        <w:t>°C</w:t>
      </w:r>
      <w:r w:rsidR="00232FCF">
        <w:t xml:space="preserve"> </w:t>
      </w:r>
      <w:r w:rsidR="00232FCF">
        <w:rPr>
          <w:lang w:val="en-US"/>
        </w:rPr>
        <w:fldChar w:fldCharType="begin"/>
      </w:r>
      <w:r w:rsidR="00CB2661">
        <w:rPr>
          <w:lang w:val="en-US"/>
        </w:rPr>
        <w:instrText xml:space="preserve"> ADDIN EN.CITE &lt;EndNote&gt;&lt;Cite&gt;&lt;Author&gt;Østergaard&lt;/Author&gt;&lt;Year&gt;2022&lt;/Year&gt;&lt;RecNum&gt;487&lt;/RecNum&gt;&lt;DisplayText&gt;[22]&lt;/DisplayText&gt;&lt;record&gt;&lt;rec-number&gt;487&lt;/rec-number&gt;&lt;foreign-keys&gt;&lt;key app="EN" db-id="zvr0eev5awpfx9e9faavww2prtw2dpd9r5dr" timestamp="1693077267"&gt;487&lt;/key&gt;&lt;/foreign-keys&gt;&lt;ref-type name="Journal Article"&gt;17&lt;/ref-type&gt;&lt;contributors&gt;&lt;authors&gt;&lt;author&gt;Østergaard, Dorte Skaarup&lt;/author&gt;&lt;author&gt;Smith, Kevin Michael&lt;/author&gt;&lt;author&gt;Tunzi, Michele&lt;/author&gt;&lt;author&gt;Svendsen, Svend&lt;/author&gt;&lt;/authors&gt;&lt;/contributors&gt;&lt;titles&gt;&lt;title&gt;Low-temperature operation of heating systems to enable 4th generation district heating: A review&lt;/title&gt;&lt;secondary-title&gt;Energy&lt;/secondary-title&gt;&lt;/titles&gt;&lt;periodical&gt;&lt;full-title&gt;Energy&lt;/full-title&gt;&lt;/periodical&gt;&lt;volume&gt;248&lt;/volume&gt;&lt;section&gt;123529&lt;/section&gt;&lt;dates&gt;&lt;year&gt;2022&lt;/year&gt;&lt;/dates&gt;&lt;isbn&gt;03605442&lt;/isbn&gt;&lt;urls&gt;&lt;/urls&gt;&lt;electronic-resource-num&gt;10.1016/j.energy.2022.123529&lt;/electronic-resource-num&gt;&lt;/record&gt;&lt;/Cite&gt;&lt;/EndNote&gt;</w:instrText>
      </w:r>
      <w:r w:rsidR="00232FCF">
        <w:rPr>
          <w:lang w:val="en-US"/>
        </w:rPr>
        <w:fldChar w:fldCharType="separate"/>
      </w:r>
      <w:r w:rsidR="00CB2661">
        <w:rPr>
          <w:noProof/>
          <w:lang w:val="en-US"/>
        </w:rPr>
        <w:t>[22]</w:t>
      </w:r>
      <w:r w:rsidR="00232FCF">
        <w:rPr>
          <w:lang w:val="en-US"/>
        </w:rPr>
        <w:fldChar w:fldCharType="end"/>
      </w:r>
      <w:r w:rsidR="00232FCF">
        <w:t xml:space="preserve">. </w:t>
      </w:r>
      <w:r w:rsidR="00DE37AD" w:rsidRPr="00DE37AD">
        <w:t>The operational conditions of space heating and DHW systems are closely related to the design of gas coolers and the efficiency of a CO</w:t>
      </w:r>
      <w:r w:rsidR="00DE37AD" w:rsidRPr="00DE37AD">
        <w:rPr>
          <w:vertAlign w:val="subscript"/>
        </w:rPr>
        <w:t>2</w:t>
      </w:r>
      <w:r w:rsidR="00DE37AD" w:rsidRPr="00DE37AD">
        <w:t xml:space="preserve"> heat pump system</w:t>
      </w:r>
      <w:r w:rsidRPr="00A31215">
        <w:t>.</w:t>
      </w:r>
      <w:r w:rsidR="00232FCF" w:rsidRPr="00232FCF">
        <w:t xml:space="preserve"> </w:t>
      </w:r>
      <w:r w:rsidRPr="00A31215">
        <w:t>For</w:t>
      </w:r>
      <w:r w:rsidR="00A40011">
        <w:t xml:space="preserve"> an</w:t>
      </w:r>
      <w:r w:rsidRPr="00A31215">
        <w:t xml:space="preserve"> </w:t>
      </w:r>
      <w:r w:rsidR="00A40011" w:rsidRPr="00A40011">
        <w:t>integrated CO</w:t>
      </w:r>
      <w:r w:rsidR="00A40011" w:rsidRPr="00A40011">
        <w:rPr>
          <w:vertAlign w:val="subscript"/>
        </w:rPr>
        <w:t>2</w:t>
      </w:r>
      <w:r w:rsidR="00A40011" w:rsidRPr="00A40011">
        <w:t xml:space="preserve"> heat pump </w:t>
      </w:r>
      <w:r w:rsidRPr="00A31215">
        <w:t>system with fixed external conditions, there</w:t>
      </w:r>
      <w:r w:rsidR="006F2770">
        <w:t xml:space="preserve"> i</w:t>
      </w:r>
      <w:r w:rsidRPr="00A31215">
        <w:t>s an optimum CO</w:t>
      </w:r>
      <w:r w:rsidRPr="00DE37AD">
        <w:rPr>
          <w:vertAlign w:val="subscript"/>
        </w:rPr>
        <w:t xml:space="preserve">2 </w:t>
      </w:r>
      <w:r w:rsidRPr="00A31215">
        <w:t>gas cooler pressure that will maximize the system's COP</w:t>
      </w:r>
      <w:r>
        <w:t xml:space="preserve"> </w:t>
      </w:r>
      <w:r>
        <w:rPr>
          <w:lang w:val="en-US"/>
        </w:rPr>
        <w:fldChar w:fldCharType="begin"/>
      </w:r>
      <w:r w:rsidR="00CB2661">
        <w:rPr>
          <w:lang w:val="en-US"/>
        </w:rPr>
        <w:instrText xml:space="preserve"> ADDIN EN.CITE &lt;EndNote&gt;&lt;Cite&gt;&lt;Author&gt;Stene&lt;/Author&gt;&lt;Year&gt;2004&lt;/Year&gt;&lt;RecNum&gt;465&lt;/RecNum&gt;&lt;DisplayText&gt;[20]&lt;/DisplayText&gt;&lt;record&gt;&lt;rec-number&gt;465&lt;/rec-number&gt;&lt;foreign-keys&gt;&lt;key app="EN" db-id="zvr0eev5awpfx9e9faavww2prtw2dpd9r5dr" timestamp="1692945659"&gt;465&lt;/key&gt;&lt;/foreign-keys&gt;&lt;ref-type name="Thesis"&gt;32&lt;/ref-type&gt;&lt;contributors&gt;&lt;authors&gt;&lt;author&gt;Stene, Jørn&lt;/author&gt;&lt;/authors&gt;&lt;/contributors&gt;&lt;titles&gt;&lt;title&gt;Residential CO2 Heat Pump System for Combined Space Heating and Hot Water Heating&lt;/title&gt;&lt;secondary-title&gt;Department of Energy and Process Engineering&lt;/secondary-title&gt;&lt;/titles&gt;&lt;volume&gt;Degree of Doktor Ingeniør&lt;/volume&gt;&lt;dates&gt;&lt;year&gt;2004&lt;/year&gt;&lt;/dates&gt;&lt;publisher&gt;NTNU - Norwegian University of Science and Technology Faculty of Engineering Science and Technology&lt;/publisher&gt;&lt;urls&gt;&lt;/urls&gt;&lt;/record&gt;&lt;/Cite&gt;&lt;/EndNote&gt;</w:instrText>
      </w:r>
      <w:r>
        <w:rPr>
          <w:lang w:val="en-US"/>
        </w:rPr>
        <w:fldChar w:fldCharType="separate"/>
      </w:r>
      <w:r w:rsidR="00CB2661">
        <w:rPr>
          <w:noProof/>
          <w:lang w:val="en-US"/>
        </w:rPr>
        <w:t>[20]</w:t>
      </w:r>
      <w:r>
        <w:rPr>
          <w:lang w:val="en-US"/>
        </w:rPr>
        <w:fldChar w:fldCharType="end"/>
      </w:r>
      <w:r>
        <w:rPr>
          <w:lang w:val="en-US"/>
        </w:rPr>
        <w:t>.</w:t>
      </w:r>
    </w:p>
    <w:p w14:paraId="11040BA4" w14:textId="759193EB" w:rsidR="009D1BD3" w:rsidRDefault="009D1BD3" w:rsidP="00BA292E">
      <w:pPr>
        <w:ind w:firstLine="284"/>
      </w:pPr>
      <w:r w:rsidRPr="008968FD">
        <w:t>While</w:t>
      </w:r>
      <w:r w:rsidR="00625E84">
        <w:t xml:space="preserve"> the use of</w:t>
      </w:r>
      <w:r w:rsidRPr="008968FD">
        <w:t xml:space="preserve"> CO</w:t>
      </w:r>
      <w:r w:rsidR="00344D66" w:rsidRPr="00344D66">
        <w:rPr>
          <w:vertAlign w:val="subscript"/>
        </w:rPr>
        <w:t>2</w:t>
      </w:r>
      <w:r w:rsidRPr="008968FD">
        <w:t xml:space="preserve"> as a refrigerant is well-established in specific secto</w:t>
      </w:r>
      <w:r>
        <w:t>rs</w:t>
      </w:r>
      <w:r w:rsidR="006F2770">
        <w:t>, including</w:t>
      </w:r>
      <w:r>
        <w:t xml:space="preserve"> DHW heating in Japan</w:t>
      </w:r>
      <w:r w:rsidR="00A40011">
        <w:t xml:space="preserve"> </w:t>
      </w:r>
      <w:r w:rsidR="00A40011">
        <w:fldChar w:fldCharType="begin"/>
      </w:r>
      <w:r w:rsidR="00CB2661">
        <w:instrText xml:space="preserve"> ADDIN EN.CITE &lt;EndNote&gt;&lt;Cite&gt;&lt;Author&gt;Maratou&lt;/Author&gt;&lt;Year&gt;2012&lt;/Year&gt;&lt;RecNum&gt;484&lt;/RecNum&gt;&lt;DisplayText&gt;[23]&lt;/DisplayText&gt;&lt;record&gt;&lt;rec-number&gt;484&lt;/rec-number&gt;&lt;foreign-keys&gt;&lt;key app="EN" db-id="zvr0eev5awpfx9e9faavww2prtw2dpd9r5dr" timestamp="1693042794"&gt;484&lt;/key&gt;&lt;/foreign-keys&gt;&lt;ref-type name="Pamphlet"&gt;24&lt;/ref-type&gt;&lt;contributors&gt;&lt;authors&gt;&lt;author&gt;Maratou, Alexandra &lt;/author&gt;&lt;author&gt;Lira, Janaina Topley &lt;/author&gt;&lt;author&gt;Jia, Huiting  &lt;/author&gt;&lt;author&gt;Masson, Nina &lt;/author&gt;&lt;/authors&gt;&lt;/contributors&gt;&lt;titles&gt;&lt;title&gt;CO2 heat pumps in europe - market dynamics &amp;amp; legislative opportunities&lt;/title&gt;&lt;/titles&gt;&lt;dates&gt;&lt;year&gt;2012&lt;/year&gt;&lt;/dates&gt;&lt;pub-location&gt;REHVA Journal&lt;/pub-location&gt;&lt;publisher&gt;Shecco publications&lt;/publisher&gt;&lt;urls&gt;&lt;/urls&gt;&lt;/record&gt;&lt;/Cite&gt;&lt;/EndNote&gt;</w:instrText>
      </w:r>
      <w:r w:rsidR="00A40011">
        <w:fldChar w:fldCharType="separate"/>
      </w:r>
      <w:r w:rsidR="00CB2661">
        <w:rPr>
          <w:noProof/>
        </w:rPr>
        <w:t>[23]</w:t>
      </w:r>
      <w:r w:rsidR="00A40011">
        <w:fldChar w:fldCharType="end"/>
      </w:r>
      <w:r>
        <w:t xml:space="preserve"> and</w:t>
      </w:r>
      <w:r w:rsidR="00F371DE">
        <w:t xml:space="preserve"> in</w:t>
      </w:r>
      <w:r>
        <w:t xml:space="preserve"> supermarket refrigeration</w:t>
      </w:r>
      <w:r w:rsidR="00256198">
        <w:t xml:space="preserve"> </w:t>
      </w:r>
      <w:r w:rsidR="00256198">
        <w:fldChar w:fldCharType="begin"/>
      </w:r>
      <w:r w:rsidR="00CB2661">
        <w:instrText xml:space="preserve"> ADDIN EN.CITE &lt;EndNote&gt;&lt;Cite&gt;&lt;Author&gt;Karampour&lt;/Author&gt;&lt;Year&gt;2018&lt;/Year&gt;&lt;RecNum&gt;494&lt;/RecNum&gt;&lt;DisplayText&gt;[24]&lt;/DisplayText&gt;&lt;record&gt;&lt;rec-number&gt;494&lt;/rec-number&gt;&lt;foreign-keys&gt;&lt;key app="EN" db-id="zvr0eev5awpfx9e9faavww2prtw2dpd9r5dr" timestamp="1694066805"&gt;494&lt;/key&gt;&lt;/foreign-keys&gt;&lt;ref-type name="Journal Article"&gt;17&lt;/ref-type&gt;&lt;contributors&gt;&lt;authors&gt;&lt;author&gt;Karampour, Mazyar&lt;/author&gt;&lt;author&gt;Sawalha, Samer&lt;/author&gt;&lt;/authors&gt;&lt;/contributors&gt;&lt;titles&gt;&lt;title&gt;State-of-the-art integrated CO2 refrigeration system for supermarkets: A comparative analysis&lt;/title&gt;&lt;secondary-title&gt;International Journal of Refrigeration&lt;/secondary-title&gt;&lt;/titles&gt;&lt;periodical&gt;&lt;full-title&gt;International Journal of Refrigeration&lt;/full-title&gt;&lt;/periodical&gt;&lt;pages&gt;239-257&lt;/pages&gt;&lt;volume&gt;86&lt;/volume&gt;&lt;section&gt;239&lt;/section&gt;&lt;dates&gt;&lt;year&gt;2018&lt;/year&gt;&lt;/dates&gt;&lt;isbn&gt;01407007&lt;/isbn&gt;&lt;urls&gt;&lt;/urls&gt;&lt;electronic-resource-num&gt;10.1016/j.ijrefrig.2017.11.006&lt;/electronic-resource-num&gt;&lt;/record&gt;&lt;/Cite&gt;&lt;/EndNote&gt;</w:instrText>
      </w:r>
      <w:r w:rsidR="00256198">
        <w:fldChar w:fldCharType="separate"/>
      </w:r>
      <w:r w:rsidR="00CB2661">
        <w:rPr>
          <w:noProof/>
        </w:rPr>
        <w:t>[24]</w:t>
      </w:r>
      <w:r w:rsidR="00256198">
        <w:fldChar w:fldCharType="end"/>
      </w:r>
      <w:r>
        <w:t xml:space="preserve">, </w:t>
      </w:r>
      <w:r w:rsidRPr="008968FD">
        <w:t xml:space="preserve">its widespread adoption is still limited. </w:t>
      </w:r>
      <w:r>
        <w:t>Any</w:t>
      </w:r>
      <w:r w:rsidRPr="008968FD">
        <w:t xml:space="preserve"> reluctance to adopt CO</w:t>
      </w:r>
      <w:r w:rsidRPr="008968FD">
        <w:rPr>
          <w:vertAlign w:val="subscript"/>
        </w:rPr>
        <w:t>2</w:t>
      </w:r>
      <w:r w:rsidRPr="008968FD">
        <w:t xml:space="preserve"> as a refrigerant primarily </w:t>
      </w:r>
      <w:r>
        <w:t>stems</w:t>
      </w:r>
      <w:r w:rsidRPr="008968FD">
        <w:t xml:space="preserve"> from a lack of familiarity, limited experience, and concerns about initial costs </w:t>
      </w:r>
      <w:r>
        <w:fldChar w:fldCharType="begin"/>
      </w:r>
      <w:r w:rsidR="00CB2661">
        <w:instrText xml:space="preserve"> ADDIN EN.CITE &lt;EndNote&gt;&lt;Cite&gt;&lt;Author&gt;Market Data Forecast&lt;/Author&gt;&lt;Year&gt;2023&lt;/Year&gt;&lt;RecNum&gt;485&lt;/RecNum&gt;&lt;DisplayText&gt;[25]&lt;/DisplayText&gt;&lt;record&gt;&lt;rec-number&gt;485&lt;/rec-number&gt;&lt;foreign-keys&gt;&lt;key app="EN" db-id="zvr0eev5awpfx9e9faavww2prtw2dpd9r5dr" timestamp="1693047434"&gt;485&lt;/key&gt;&lt;/foreign-keys&gt;&lt;ref-type name="Report"&gt;27&lt;/ref-type&gt;&lt;contributors&gt;&lt;authors&gt;&lt;author&gt;Market Data Forecast,&lt;/author&gt;&lt;/authors&gt;&lt;/contributors&gt;&lt;titles&gt;&lt;title&gt;CO2 Heat Pump Water Heater Market Research Report - Segmentation by  Product (Air Source and Water Source); By Application (Residential, Commercial and Industrial) and Region - Industry Forecast of 2023 to 2028&lt;/title&gt;&lt;/titles&gt;&lt;dates&gt;&lt;year&gt;2023&lt;/year&gt;&lt;/dates&gt;&lt;pub-location&gt;Market Data Forecast&lt;/pub-location&gt;&lt;urls&gt;&lt;/urls&gt;&lt;/record&gt;&lt;/Cite&gt;&lt;/EndNote&gt;</w:instrText>
      </w:r>
      <w:r>
        <w:fldChar w:fldCharType="separate"/>
      </w:r>
      <w:r w:rsidR="00CB2661">
        <w:rPr>
          <w:noProof/>
        </w:rPr>
        <w:t>[25]</w:t>
      </w:r>
      <w:r>
        <w:fldChar w:fldCharType="end"/>
      </w:r>
      <w:r>
        <w:t xml:space="preserve">. </w:t>
      </w:r>
      <w:r w:rsidRPr="008968FD">
        <w:t xml:space="preserve">By </w:t>
      </w:r>
      <w:r>
        <w:t xml:space="preserve">investigating </w:t>
      </w:r>
      <w:r w:rsidRPr="008968FD">
        <w:t>the challenges of integrating CO</w:t>
      </w:r>
      <w:r w:rsidRPr="008968FD">
        <w:rPr>
          <w:vertAlign w:val="subscript"/>
        </w:rPr>
        <w:t>2</w:t>
      </w:r>
      <w:r w:rsidRPr="008968FD">
        <w:t xml:space="preserve"> heat pumps into a variety of systems, simplified approaches could provide industrial designers and end-users with the tools necessary to improve both design and operational efficiency. This, in turn, could </w:t>
      </w:r>
      <w:r>
        <w:t>facilitate</w:t>
      </w:r>
      <w:r w:rsidRPr="008968FD">
        <w:t xml:space="preserve"> a </w:t>
      </w:r>
      <w:r w:rsidRPr="009736C4">
        <w:t xml:space="preserve">wider implementation </w:t>
      </w:r>
      <w:r w:rsidRPr="008968FD">
        <w:t>of CO</w:t>
      </w:r>
      <w:r w:rsidRPr="009007D3">
        <w:rPr>
          <w:vertAlign w:val="subscript"/>
        </w:rPr>
        <w:t>2</w:t>
      </w:r>
      <w:r w:rsidRPr="008968FD">
        <w:t>-based systems.</w:t>
      </w:r>
    </w:p>
    <w:p w14:paraId="160C4937" w14:textId="10FB2487" w:rsidR="00232FCF" w:rsidRDefault="009D1BD3" w:rsidP="00BA292E">
      <w:pPr>
        <w:ind w:firstLine="284"/>
      </w:pPr>
      <w:r>
        <w:t>A</w:t>
      </w:r>
      <w:r w:rsidRPr="009736C4">
        <w:t xml:space="preserve"> standard thermodynamic analysis often requires computational efforts, the use of detailed physics</w:t>
      </w:r>
      <w:r w:rsidR="00344D66">
        <w:t xml:space="preserve">-based </w:t>
      </w:r>
      <w:r w:rsidRPr="009736C4">
        <w:t>equations, and a</w:t>
      </w:r>
      <w:r w:rsidR="00871393">
        <w:t xml:space="preserve"> deep</w:t>
      </w:r>
      <w:r w:rsidRPr="009736C4">
        <w:t xml:space="preserve"> understanding of the internal components of the units and systems being modelled. Gathering this specific information can</w:t>
      </w:r>
      <w:r>
        <w:t xml:space="preserve"> b</w:t>
      </w:r>
      <w:r w:rsidRPr="009736C4">
        <w:t xml:space="preserve">e time-intensive, costly, and sometimes unattainable </w:t>
      </w:r>
      <w:r>
        <w:fldChar w:fldCharType="begin"/>
      </w:r>
      <w:r w:rsidR="00CB2661">
        <w:instrText xml:space="preserve"> ADDIN EN.CITE &lt;EndNote&gt;&lt;Cite&gt;&lt;Author&gt;Deb&lt;/Author&gt;&lt;Year&gt;2021&lt;/Year&gt;&lt;RecNum&gt;419&lt;/RecNum&gt;&lt;DisplayText&gt;[26]&lt;/DisplayText&gt;&lt;record&gt;&lt;rec-number&gt;419&lt;/rec-number&gt;&lt;foreign-keys&gt;&lt;key app="EN" db-id="zvr0eev5awpfx9e9faavww2prtw2dpd9r5dr" timestamp="1679906915"&gt;419&lt;/key&gt;&lt;/foreign-keys&gt;&lt;ref-type name="Journal Article"&gt;17&lt;/ref-type&gt;&lt;contributors&gt;&lt;authors&gt;&lt;author&gt;Deb, C.&lt;/author&gt;&lt;author&gt;Schlueter, A.&lt;/author&gt;&lt;/authors&gt;&lt;/contributors&gt;&lt;titles&gt;&lt;title&gt;Review of data-driven energy modelling techniques for building retrofit&lt;/title&gt;&lt;secondary-title&gt;Renewable and Sustainable Energy Reviews&lt;/secondary-title&gt;&lt;/titles&gt;&lt;periodical&gt;&lt;full-title&gt;Renewable and Sustainable Energy Reviews&lt;/full-title&gt;&lt;/periodical&gt;&lt;volume&gt;144&lt;/volume&gt;&lt;section&gt;110990&lt;/section&gt;&lt;dates&gt;&lt;year&gt;2021&lt;/year&gt;&lt;/dates&gt;&lt;isbn&gt;13640321&lt;/isbn&gt;&lt;urls&gt;&lt;/urls&gt;&lt;electronic-resource-num&gt;10.1016/j.rser.2021.110990&lt;/electronic-resource-num&gt;&lt;/record&gt;&lt;/Cite&gt;&lt;/EndNote&gt;</w:instrText>
      </w:r>
      <w:r>
        <w:fldChar w:fldCharType="separate"/>
      </w:r>
      <w:r w:rsidR="00CB2661">
        <w:rPr>
          <w:noProof/>
        </w:rPr>
        <w:t>[26]</w:t>
      </w:r>
      <w:r>
        <w:fldChar w:fldCharType="end"/>
      </w:r>
      <w:r w:rsidRPr="009736C4">
        <w:t>. Furthermore, many commercial systems have internal controllers whose operations are proprietary, which can complicate the modelling process.</w:t>
      </w:r>
      <w:r>
        <w:t xml:space="preserve"> In contrast to physics-based modelling, the Artificial Neural Network (ANN), a data-driven approach, has garnered significant attention over the past decade, emerging as a cornerstone of the ongoing Artificial Intelligence revolution</w:t>
      </w:r>
      <w:r w:rsidRPr="00B92526">
        <w:t xml:space="preserve"> </w:t>
      </w:r>
      <w:r>
        <w:fldChar w:fldCharType="begin"/>
      </w:r>
      <w:r w:rsidR="00CB2661">
        <w:instrText xml:space="preserve"> ADDIN EN.CITE &lt;EndNote&gt;&lt;Cite&gt;&lt;Author&gt;Abiodun&lt;/Author&gt;&lt;Year&gt;2018&lt;/Year&gt;&lt;RecNum&gt;489&lt;/RecNum&gt;&lt;DisplayText&gt;[27]&lt;/DisplayText&gt;&lt;record&gt;&lt;rec-number&gt;489&lt;/rec-number&gt;&lt;foreign-keys&gt;&lt;key app="EN" db-id="zvr0eev5awpfx9e9faavww2prtw2dpd9r5dr" timestamp="1693081996"&gt;489&lt;/key&gt;&lt;/foreign-keys&gt;&lt;ref-type name="Journal Article"&gt;17&lt;/ref-type&gt;&lt;contributors&gt;&lt;authors&gt;&lt;author&gt;Abiodun, O. I.&lt;/author&gt;&lt;author&gt;Jantan, A.&lt;/author&gt;&lt;author&gt;Omolara, A. E.&lt;/author&gt;&lt;author&gt;Dada, K. V.&lt;/author&gt;&lt;author&gt;Mohamed, N. A.&lt;/author&gt;&lt;author&gt;Arshad, H.&lt;/author&gt;&lt;/authors&gt;&lt;/contributors&gt;&lt;auth-address&gt;Department of Computer Science, Bingham University, Karu, Nigeria.&amp;#xD;School of Computer Sciences, Universiti Sains Malaysia, Penang, Malaysia.&amp;#xD;Department of Computer Science, Ahmadu Bello University, Zaria, Nigeria.&amp;#xD;Department of Mathematical Sciences, Nasarawa State University, Keffi, Nigeria.&amp;#xD;California University, USA.&amp;#xD;Department of Computer Science and Information Technology, Islamia University of Bahawalpur, Pakistan.&lt;/auth-address&gt;&lt;titles&gt;&lt;title&gt;State-of-the-art in artificial neural network applications: A survey&lt;/title&gt;&lt;secondary-title&gt;Heliyon&lt;/secondary-title&gt;&lt;/titles&gt;&lt;periodical&gt;&lt;full-title&gt;Heliyon&lt;/full-title&gt;&lt;/periodical&gt;&lt;pages&gt;e00938&lt;/pages&gt;&lt;volume&gt;4&lt;/volume&gt;&lt;number&gt;11&lt;/number&gt;&lt;edition&gt;20181123&lt;/edition&gt;&lt;keywords&gt;&lt;keyword&gt;Computer science&lt;/keyword&gt;&lt;/keywords&gt;&lt;dates&gt;&lt;year&gt;2018&lt;/year&gt;&lt;pub-dates&gt;&lt;date&gt;Nov&lt;/date&gt;&lt;/pub-dates&gt;&lt;/dates&gt;&lt;isbn&gt;2405-8440 (Print)&amp;#xD;2405-8440 (Electronic)&amp;#xD;2405-8440 (Linking)&lt;/isbn&gt;&lt;accession-num&gt;30519653&lt;/accession-num&gt;&lt;urls&gt;&lt;related-urls&gt;&lt;url&gt;https://www.ncbi.nlm.nih.gov/pubmed/30519653&lt;/url&gt;&lt;/related-urls&gt;&lt;/urls&gt;&lt;custom2&gt;PMC6260436&lt;/custom2&gt;&lt;electronic-resource-num&gt;10.1016/j.heliyon.2018.e00938&lt;/electronic-resource-num&gt;&lt;remote-database-name&gt;PubMed-not-MEDLINE&lt;/remote-database-name&gt;&lt;remote-database-provider&gt;NLM&lt;/remote-database-provider&gt;&lt;/record&gt;&lt;/Cite&gt;&lt;/EndNote&gt;</w:instrText>
      </w:r>
      <w:r>
        <w:fldChar w:fldCharType="separate"/>
      </w:r>
      <w:r w:rsidR="00CB2661">
        <w:rPr>
          <w:noProof/>
        </w:rPr>
        <w:t>[27]</w:t>
      </w:r>
      <w:r>
        <w:fldChar w:fldCharType="end"/>
      </w:r>
      <w:r>
        <w:t>. The ANN methodology efficiently captures the complex non-linear relationships between input and output parameters</w:t>
      </w:r>
      <w:r w:rsidRPr="00B92526">
        <w:t xml:space="preserve"> </w:t>
      </w:r>
      <w:r>
        <w:fldChar w:fldCharType="begin"/>
      </w:r>
      <w:r w:rsidR="00CB2661">
        <w:instrText xml:space="preserve"> ADDIN EN.CITE &lt;EndNote&gt;&lt;Cite&gt;&lt;Author&gt;Arat&lt;/Author&gt;&lt;Year&gt;2017&lt;/Year&gt;&lt;RecNum&gt;168&lt;/RecNum&gt;&lt;DisplayText&gt;[28]&lt;/DisplayText&gt;&lt;record&gt;&lt;rec-number&gt;168&lt;/rec-number&gt;&lt;foreign-keys&gt;&lt;key app="EN" db-id="zvr0eev5awpfx9e9faavww2prtw2dpd9r5dr" timestamp="1636359712" guid="940a9588-eb37-4c83-b447-8ca6a4c5e258"&gt;168&lt;/key&gt;&lt;/foreign-keys&gt;&lt;ref-type name="Journal Article"&gt;17&lt;/ref-type&gt;&lt;contributors&gt;&lt;authors&gt;&lt;author&gt;Arat, Halit&lt;/author&gt;&lt;author&gt;Arslan, Oguz&lt;/author&gt;&lt;/authors&gt;&lt;/contributors&gt;&lt;titles&gt;&lt;title&gt;Optimization of district heating system aided by geothermal heat pump: A novel multistage with multilevel ANN modelling&lt;/title&gt;&lt;secondary-title&gt;Applied Thermal Engineering&lt;/secondary-title&gt;&lt;/titles&gt;&lt;periodical&gt;&lt;full-title&gt;Applied Thermal Engineering&lt;/full-title&gt;&lt;/periodical&gt;&lt;pages&gt;608-623&lt;/pages&gt;&lt;volume&gt;111&lt;/volume&gt;&lt;section&gt;608&lt;/section&gt;&lt;dates&gt;&lt;year&gt;2017&lt;/year&gt;&lt;/dates&gt;&lt;isbn&gt;13594311&lt;/isbn&gt;&lt;urls&gt;&lt;/urls&gt;&lt;electronic-resource-num&gt;10.1016/j.applthermaleng.2016.09.150&lt;/electronic-resource-num&gt;&lt;/record&gt;&lt;/Cite&gt;&lt;/EndNote&gt;</w:instrText>
      </w:r>
      <w:r>
        <w:fldChar w:fldCharType="separate"/>
      </w:r>
      <w:r w:rsidR="00CB2661">
        <w:rPr>
          <w:noProof/>
        </w:rPr>
        <w:t>[28]</w:t>
      </w:r>
      <w:r>
        <w:fldChar w:fldCharType="end"/>
      </w:r>
      <w:r>
        <w:t>.</w:t>
      </w:r>
    </w:p>
    <w:p w14:paraId="32D24997" w14:textId="77777777" w:rsidR="009D1BD3" w:rsidRDefault="009D1BD3" w:rsidP="00157418">
      <w:pPr>
        <w:pStyle w:val="Heading2"/>
      </w:pPr>
      <w:r>
        <w:lastRenderedPageBreak/>
        <w:t>Related works and contribution</w:t>
      </w:r>
    </w:p>
    <w:p w14:paraId="4608C31C" w14:textId="250B6041" w:rsidR="007B3C87" w:rsidRDefault="009D1BD3" w:rsidP="009D1BD3">
      <w:r w:rsidRPr="00B92526">
        <w:t xml:space="preserve">Since Lorentzen "reintroduced" </w:t>
      </w:r>
      <w:r w:rsidR="00F371DE">
        <w:t>CO</w:t>
      </w:r>
      <w:r w:rsidR="00F371DE" w:rsidRPr="00F371DE">
        <w:rPr>
          <w:vertAlign w:val="subscript"/>
        </w:rPr>
        <w:t>2</w:t>
      </w:r>
      <w:r w:rsidR="00F371DE">
        <w:t xml:space="preserve"> as</w:t>
      </w:r>
      <w:r w:rsidR="00871393">
        <w:t xml:space="preserve"> an efficient</w:t>
      </w:r>
      <w:r w:rsidR="0059432E">
        <w:t xml:space="preserve"> and sustainable</w:t>
      </w:r>
      <w:r w:rsidRPr="00B92526">
        <w:t xml:space="preserve"> refrigerant in the early 1990s </w:t>
      </w:r>
      <w:r>
        <w:fldChar w:fldCharType="begin"/>
      </w:r>
      <w:r w:rsidR="00CB2661">
        <w:instrText xml:space="preserve"> ADDIN EN.CITE &lt;EndNote&gt;&lt;Cite&gt;&lt;Author&gt;Lorentzen&lt;/Author&gt;&lt;Year&gt;1994&lt;/Year&gt;&lt;RecNum&gt;482&lt;/RecNum&gt;&lt;DisplayText&gt;[19]&lt;/DisplayText&gt;&lt;record&gt;&lt;rec-number&gt;482&lt;/rec-number&gt;&lt;foreign-keys&gt;&lt;key app="EN" db-id="zvr0eev5awpfx9e9faavww2prtw2dpd9r5dr" timestamp="1692980658"&gt;482&lt;/key&gt;&lt;/foreign-keys&gt;&lt;ref-type name="Journal Article"&gt;17&lt;/ref-type&gt;&lt;contributors&gt;&lt;authors&gt;&lt;author&gt;Lorentzen, Gustav &lt;/author&gt;&lt;/authors&gt;&lt;/contributors&gt;&lt;titles&gt;&lt;title&gt;Revival of carbon dioxide as a refrigerant&lt;/title&gt;&lt;secondary-title&gt;International Journal of Refrigeration&lt;/secondary-title&gt;&lt;/titles&gt;&lt;periodical&gt;&lt;full-title&gt;International Journal of Refrigeration&lt;/full-title&gt;&lt;/periodical&gt;&lt;pages&gt;292-301&lt;/pages&gt;&lt;volume&gt;17&lt;/volume&gt;&lt;number&gt;5&lt;/number&gt;&lt;dates&gt;&lt;year&gt;1994&lt;/year&gt;&lt;/dates&gt;&lt;isbn&gt;0140-7007&lt;/isbn&gt;&lt;urls&gt;&lt;/urls&gt;&lt;electronic-resource-num&gt;https://doi.org/10.1016/0140-7007(94)90059-0.&lt;/electronic-resource-num&gt;&lt;/record&gt;&lt;/Cite&gt;&lt;/EndNote&gt;</w:instrText>
      </w:r>
      <w:r>
        <w:fldChar w:fldCharType="separate"/>
      </w:r>
      <w:r w:rsidR="00CB2661">
        <w:rPr>
          <w:noProof/>
        </w:rPr>
        <w:t>[19]</w:t>
      </w:r>
      <w:r>
        <w:fldChar w:fldCharType="end"/>
      </w:r>
      <w:r w:rsidRPr="00B92526">
        <w:t>, the CO</w:t>
      </w:r>
      <w:r w:rsidRPr="00B92526">
        <w:rPr>
          <w:vertAlign w:val="subscript"/>
        </w:rPr>
        <w:t>2</w:t>
      </w:r>
      <w:r w:rsidRPr="00B92526">
        <w:t xml:space="preserve"> heat pump process has garnered attention from both heat pump and refrigeration engineers as well as researchers. While the application of machine learning methods to describe the</w:t>
      </w:r>
      <w:r w:rsidR="006F2770">
        <w:t xml:space="preserve"> CO</w:t>
      </w:r>
      <w:r w:rsidR="006F2770" w:rsidRPr="006F2770">
        <w:rPr>
          <w:vertAlign w:val="subscript"/>
        </w:rPr>
        <w:t>2</w:t>
      </w:r>
      <w:r w:rsidR="006F2770">
        <w:t xml:space="preserve"> heat pump</w:t>
      </w:r>
      <w:r w:rsidRPr="00B92526">
        <w:t xml:space="preserve"> process has been explored, it remains a subject with limited extensive literature.</w:t>
      </w:r>
    </w:p>
    <w:p w14:paraId="1772AA05" w14:textId="21B865D5" w:rsidR="007B3C87" w:rsidRDefault="009D1BD3" w:rsidP="00BA292E">
      <w:pPr>
        <w:ind w:firstLine="284"/>
      </w:pPr>
      <w:r>
        <w:t>Wu et al. utilized ANN to predict</w:t>
      </w:r>
      <w:r w:rsidR="00F371DE">
        <w:t xml:space="preserve"> the</w:t>
      </w:r>
      <w:r>
        <w:t xml:space="preserve"> performance metrics of a CO</w:t>
      </w:r>
      <w:r w:rsidRPr="00B92526">
        <w:rPr>
          <w:vertAlign w:val="subscript"/>
        </w:rPr>
        <w:t>2</w:t>
      </w:r>
      <w:r>
        <w:t xml:space="preserve"> air-conditioning system's gas cooler </w:t>
      </w:r>
      <w:r w:rsidRPr="000A3177">
        <w:fldChar w:fldCharType="begin"/>
      </w:r>
      <w:r w:rsidR="00CB2661">
        <w:instrText xml:space="preserve"> ADDIN EN.CITE &lt;EndNote&gt;&lt;Cite&gt;&lt;Author&gt;Wu&lt;/Author&gt;&lt;Year&gt;2008&lt;/Year&gt;&lt;RecNum&gt;444&lt;/RecNum&gt;&lt;DisplayText&gt;[29]&lt;/DisplayText&gt;&lt;record&gt;&lt;rec-number&gt;444&lt;/rec-number&gt;&lt;foreign-keys&gt;&lt;key app="EN" db-id="zvr0eev5awpfx9e9faavww2prtw2dpd9r5dr" timestamp="1691842112"&gt;444&lt;/key&gt;&lt;/foreign-keys&gt;&lt;ref-type name="Journal Article"&gt;17&lt;/ref-type&gt;&lt;contributors&gt;&lt;authors&gt;&lt;author&gt;Wu, Z. G.&lt;/author&gt;&lt;author&gt;Zhang, J. Z.&lt;/author&gt;&lt;author&gt;Tao, Y. B.&lt;/author&gt;&lt;author&gt;He, Y. L.&lt;/author&gt;&lt;author&gt;Tao, W. Q.&lt;/author&gt;&lt;/authors&gt;&lt;/contributors&gt;&lt;titles&gt;&lt;title&gt;Application of artificial neural network method for performance prediction of a gas cooler in a CO2 heat pump&lt;/title&gt;&lt;secondary-title&gt;International Journal of Heat and Mass Transfer&lt;/secondary-title&gt;&lt;/titles&gt;&lt;periodical&gt;&lt;full-title&gt;International Journal of Heat and Mass Transfer&lt;/full-title&gt;&lt;/periodical&gt;&lt;pages&gt;5459-5464&lt;/pages&gt;&lt;volume&gt;51&lt;/volume&gt;&lt;number&gt;21-22&lt;/number&gt;&lt;section&gt;5459&lt;/section&gt;&lt;dates&gt;&lt;year&gt;2008&lt;/year&gt;&lt;/dates&gt;&lt;isbn&gt;00179310&lt;/isbn&gt;&lt;urls&gt;&lt;/urls&gt;&lt;electronic-resource-num&gt;10.1016/j.ijheatmasstransfer.2008.03.009&lt;/electronic-resource-num&gt;&lt;/record&gt;&lt;/Cite&gt;&lt;/EndNote&gt;</w:instrText>
      </w:r>
      <w:r w:rsidRPr="000A3177">
        <w:fldChar w:fldCharType="separate"/>
      </w:r>
      <w:r w:rsidR="00CB2661">
        <w:rPr>
          <w:noProof/>
        </w:rPr>
        <w:t>[29]</w:t>
      </w:r>
      <w:r w:rsidRPr="000A3177">
        <w:fldChar w:fldCharType="end"/>
      </w:r>
      <w:r w:rsidRPr="000A3177">
        <w:t xml:space="preserve">. </w:t>
      </w:r>
      <w:r>
        <w:t>Trained with inlet conditions from both the CO</w:t>
      </w:r>
      <w:r w:rsidRPr="00B92526">
        <w:rPr>
          <w:vertAlign w:val="subscript"/>
        </w:rPr>
        <w:t xml:space="preserve">2 </w:t>
      </w:r>
      <w:r>
        <w:t xml:space="preserve">and </w:t>
      </w:r>
      <w:proofErr w:type="gramStart"/>
      <w:r>
        <w:t>air</w:t>
      </w:r>
      <w:r w:rsidR="006F2770">
        <w:t>-</w:t>
      </w:r>
      <w:r>
        <w:t>side</w:t>
      </w:r>
      <w:proofErr w:type="gramEnd"/>
      <w:r>
        <w:t>, the network achieved predictions</w:t>
      </w:r>
      <w:r w:rsidRPr="00B92526">
        <w:t xml:space="preserve"> </w:t>
      </w:r>
      <w:r>
        <w:t xml:space="preserve">of </w:t>
      </w:r>
      <w:r w:rsidRPr="00B92526">
        <w:t>heat transfer, outlet temperatures and pressure drop across the gas cooler</w:t>
      </w:r>
      <w:r>
        <w:t xml:space="preserve"> with deviations </w:t>
      </w:r>
      <w:r w:rsidR="00344D66">
        <w:t>less than</w:t>
      </w:r>
      <w:r>
        <w:t xml:space="preserve"> ±5% from actual measurements. A limitation, however, was its dependency on flow measurements from both gas cooler</w:t>
      </w:r>
      <w:r w:rsidR="00344D66">
        <w:t>s</w:t>
      </w:r>
      <w:r>
        <w:t xml:space="preserve"> sides, which due to high cost, is uncommon in real-world heat pump systems </w:t>
      </w:r>
      <w:r w:rsidRPr="000A3177">
        <w:fldChar w:fldCharType="begin"/>
      </w:r>
      <w:r w:rsidR="00CB2661">
        <w:instrText xml:space="preserve"> ADDIN EN.CITE &lt;EndNote&gt;&lt;Cite&gt;&lt;Author&gt;Opalic&lt;/Author&gt;&lt;Year&gt;2020&lt;/Year&gt;&lt;RecNum&gt;7&lt;/RecNum&gt;&lt;DisplayText&gt;[30]&lt;/DisplayText&gt;&lt;record&gt;&lt;rec-number&gt;7&lt;/rec-number&gt;&lt;foreign-keys&gt;&lt;key app="EN" db-id="zvr0eev5awpfx9e9faavww2prtw2dpd9r5dr" timestamp="1605269571" guid="ed458d9b-5343-45a8-944f-d3cbf26afe4f"&gt;7&lt;/key&gt;&lt;/foreign-keys&gt;&lt;ref-type name="Journal Article"&gt;17&lt;/ref-type&gt;&lt;contributors&gt;&lt;authors&gt;&lt;author&gt;Opalic, Sven Myrdahl&lt;/author&gt;&lt;author&gt;Goodwin, Morten&lt;/author&gt;&lt;author&gt;Jiao, Lei&lt;/author&gt;&lt;author&gt;Nielsen, Henrik Kofoed&lt;/author&gt;&lt;author&gt;Pardiñas, Ángel Álvarez&lt;/author&gt;&lt;author&gt;Hafner, Armin&lt;/author&gt;&lt;author&gt;Kolhe, Mohan Lal&lt;/author&gt;&lt;/authors&gt;&lt;/contributors&gt;&lt;titles&gt;&lt;title&gt;ANN modelling of CO2 refrigerant cooling system COP in a smart warehouse&lt;/title&gt;&lt;secondary-title&gt;Journal of Cleaner Production&lt;/secondary-title&gt;&lt;/titles&gt;&lt;periodical&gt;&lt;full-title&gt;Journal of Cleaner Production&lt;/full-title&gt;&lt;/periodical&gt;&lt;volume&gt;260&lt;/volume&gt;&lt;section&gt;120887&lt;/section&gt;&lt;dates&gt;&lt;year&gt;2020&lt;/year&gt;&lt;/dates&gt;&lt;isbn&gt;09596526&lt;/isbn&gt;&lt;urls&gt;&lt;/urls&gt;&lt;electronic-resource-num&gt;10.1016/j.jclepro.2020.120887&lt;/electronic-resource-num&gt;&lt;/record&gt;&lt;/Cite&gt;&lt;/EndNote&gt;</w:instrText>
      </w:r>
      <w:r w:rsidRPr="000A3177">
        <w:fldChar w:fldCharType="separate"/>
      </w:r>
      <w:r w:rsidR="00CB2661">
        <w:rPr>
          <w:noProof/>
        </w:rPr>
        <w:t>[30]</w:t>
      </w:r>
      <w:r w:rsidRPr="000A3177">
        <w:fldChar w:fldCharType="end"/>
      </w:r>
      <w:r>
        <w:t xml:space="preserve">. </w:t>
      </w:r>
      <w:proofErr w:type="spellStart"/>
      <w:r>
        <w:t>Opalic</w:t>
      </w:r>
      <w:proofErr w:type="spellEnd"/>
      <w:r>
        <w:t xml:space="preserve"> et al. explored ANN's potential to predict CO</w:t>
      </w:r>
      <w:r w:rsidRPr="00B92526">
        <w:rPr>
          <w:vertAlign w:val="subscript"/>
        </w:rPr>
        <w:t>2</w:t>
      </w:r>
      <w:r>
        <w:t xml:space="preserve"> mass flow rate and compressor power consumption in an industrial cooling system </w:t>
      </w:r>
      <w:r w:rsidRPr="000A3177">
        <w:fldChar w:fldCharType="begin"/>
      </w:r>
      <w:r w:rsidR="00CB2661">
        <w:instrText xml:space="preserve"> ADDIN EN.CITE &lt;EndNote&gt;&lt;Cite&gt;&lt;Author&gt;Opalic&lt;/Author&gt;&lt;Year&gt;2020&lt;/Year&gt;&lt;RecNum&gt;7&lt;/RecNum&gt;&lt;DisplayText&gt;[30]&lt;/DisplayText&gt;&lt;record&gt;&lt;rec-number&gt;7&lt;/rec-number&gt;&lt;foreign-keys&gt;&lt;key app="EN" db-id="zvr0eev5awpfx9e9faavww2prtw2dpd9r5dr" timestamp="1605269571" guid="ed458d9b-5343-45a8-944f-d3cbf26afe4f"&gt;7&lt;/key&gt;&lt;/foreign-keys&gt;&lt;ref-type name="Journal Article"&gt;17&lt;/ref-type&gt;&lt;contributors&gt;&lt;authors&gt;&lt;author&gt;Opalic, Sven Myrdahl&lt;/author&gt;&lt;author&gt;Goodwin, Morten&lt;/author&gt;&lt;author&gt;Jiao, Lei&lt;/author&gt;&lt;author&gt;Nielsen, Henrik Kofoed&lt;/author&gt;&lt;author&gt;Pardiñas, Ángel Álvarez&lt;/author&gt;&lt;author&gt;Hafner, Armin&lt;/author&gt;&lt;author&gt;Kolhe, Mohan Lal&lt;/author&gt;&lt;/authors&gt;&lt;/contributors&gt;&lt;titles&gt;&lt;title&gt;ANN modelling of CO2 refrigerant cooling system COP in a smart warehouse&lt;/title&gt;&lt;secondary-title&gt;Journal of Cleaner Production&lt;/secondary-title&gt;&lt;/titles&gt;&lt;periodical&gt;&lt;full-title&gt;Journal of Cleaner Production&lt;/full-title&gt;&lt;/periodical&gt;&lt;volume&gt;260&lt;/volume&gt;&lt;section&gt;120887&lt;/section&gt;&lt;dates&gt;&lt;year&gt;2020&lt;/year&gt;&lt;/dates&gt;&lt;isbn&gt;09596526&lt;/isbn&gt;&lt;urls&gt;&lt;/urls&gt;&lt;electronic-resource-num&gt;10.1016/j.jclepro.2020.120887&lt;/electronic-resource-num&gt;&lt;/record&gt;&lt;/Cite&gt;&lt;/EndNote&gt;</w:instrText>
      </w:r>
      <w:r w:rsidRPr="000A3177">
        <w:fldChar w:fldCharType="separate"/>
      </w:r>
      <w:r w:rsidR="00CB2661">
        <w:rPr>
          <w:noProof/>
        </w:rPr>
        <w:t>[30]</w:t>
      </w:r>
      <w:r w:rsidRPr="000A3177">
        <w:fldChar w:fldCharType="end"/>
      </w:r>
      <w:r>
        <w:t>. Using easily measurable parameters like system temperatures and pressures as inputs, they constructed a model based on compressor polynomials. W</w:t>
      </w:r>
      <w:r w:rsidRPr="00B92526">
        <w:t>hen tested in a real-world setting, the model achieved a Mean Average Percentage Error (MAPE) below 5%</w:t>
      </w:r>
      <w:r>
        <w:t>.</w:t>
      </w:r>
    </w:p>
    <w:p w14:paraId="23FE3285" w14:textId="10150205" w:rsidR="00344D66" w:rsidRDefault="009D1BD3" w:rsidP="00BA292E">
      <w:pPr>
        <w:ind w:firstLine="284"/>
      </w:pPr>
      <w:r w:rsidRPr="00B92526">
        <w:t>Xu et al. employed an ANN to enhance calculations</w:t>
      </w:r>
      <w:r w:rsidR="0059432E">
        <w:t xml:space="preserve"> when</w:t>
      </w:r>
      <w:r w:rsidRPr="00B92526">
        <w:t xml:space="preserve"> optimizing the performance of an air-source CO</w:t>
      </w:r>
      <w:r w:rsidRPr="00C71BDA">
        <w:rPr>
          <w:vertAlign w:val="subscript"/>
        </w:rPr>
        <w:t xml:space="preserve">2 </w:t>
      </w:r>
      <w:r w:rsidRPr="00B92526">
        <w:t xml:space="preserve">heat pump </w:t>
      </w:r>
      <w:r w:rsidRPr="000A3177">
        <w:fldChar w:fldCharType="begin"/>
      </w:r>
      <w:r w:rsidR="00CB2661">
        <w:instrText xml:space="preserve"> ADDIN EN.CITE &lt;EndNote&gt;&lt;Cite&gt;&lt;Author&gt;Xu&lt;/Author&gt;&lt;Year&gt;2021&lt;/Year&gt;&lt;RecNum&gt;45&lt;/RecNum&gt;&lt;DisplayText&gt;[13]&lt;/DisplayText&gt;&lt;record&gt;&lt;rec-number&gt;45&lt;/rec-number&gt;&lt;foreign-keys&gt;&lt;key app="EN" db-id="zvr0eev5awpfx9e9faavww2prtw2dpd9r5dr" timestamp="1636359273" guid="388f823f-9b8c-470e-8770-81cc3d7d2d2e"&gt;45&lt;/key&gt;&lt;/foreign-keys&gt;&lt;ref-type name="Journal Article"&gt;17&lt;/ref-type&gt;&lt;contributors&gt;&lt;authors&gt;&lt;author&gt;Xu, Yingjie&lt;/author&gt;&lt;author&gt;Mao, Chengbin&lt;/author&gt;&lt;author&gt;Huang, Yuangong&lt;/author&gt;&lt;author&gt;Shen, Xi&lt;/author&gt;&lt;author&gt;Xu, Xiaoxiao&lt;/author&gt;&lt;author&gt;Chen, Guangming&lt;/author&gt;&lt;/authors&gt;&lt;/contributors&gt;&lt;titles&gt;&lt;title&gt;Performance evaluation and multi-objective optimization of a low-temperature CO2 heat pump water heater based on artificial neural network and new economic analysis&lt;/title&gt;&lt;secondary-title&gt;Energy&lt;/secondary-title&gt;&lt;/titles&gt;&lt;periodical&gt;&lt;full-title&gt;Energy&lt;/full-title&gt;&lt;/periodical&gt;&lt;volume&gt;216&lt;/volume&gt;&lt;section&gt;119232&lt;/section&gt;&lt;dates&gt;&lt;year&gt;2021&lt;/year&gt;&lt;/dates&gt;&lt;isbn&gt;03605442&lt;/isbn&gt;&lt;urls&gt;&lt;/urls&gt;&lt;electronic-resource-num&gt;10.1016/j.energy.2020.119232&lt;/electronic-resource-num&gt;&lt;/record&gt;&lt;/Cite&gt;&lt;/EndNote&gt;</w:instrText>
      </w:r>
      <w:r w:rsidRPr="000A3177">
        <w:fldChar w:fldCharType="separate"/>
      </w:r>
      <w:r w:rsidR="00CB2661">
        <w:rPr>
          <w:noProof/>
        </w:rPr>
        <w:t>[13]</w:t>
      </w:r>
      <w:r w:rsidRPr="000A3177">
        <w:fldChar w:fldCharType="end"/>
      </w:r>
      <w:r w:rsidRPr="00B92526">
        <w:t xml:space="preserve">. </w:t>
      </w:r>
      <w:r w:rsidR="009D36FC" w:rsidRPr="009D36FC">
        <w:t>Using heat rejection pressure, gas cooler outlet temperature, and compressor displacement as inputs, the ANN predicted the CO</w:t>
      </w:r>
      <w:r w:rsidR="009D36FC" w:rsidRPr="0059432E">
        <w:rPr>
          <w:vertAlign w:val="subscript"/>
        </w:rPr>
        <w:t>2</w:t>
      </w:r>
      <w:r w:rsidR="009D36FC" w:rsidRPr="009D36FC">
        <w:t xml:space="preserve"> mass flow rate, the heat transfer area of the gas cooler, the pressure ratio, electricity consumption, and heat production.</w:t>
      </w:r>
      <w:r w:rsidRPr="00B92526">
        <w:t xml:space="preserve"> </w:t>
      </w:r>
      <w:r w:rsidR="009D36FC" w:rsidRPr="009D36FC">
        <w:t>In another study,</w:t>
      </w:r>
      <w:r w:rsidRPr="00B92526">
        <w:t xml:space="preserve"> Yin et al. combined Particle-Swarm-Optimization with a neural network to determin</w:t>
      </w:r>
      <w:r>
        <w:t>e</w:t>
      </w:r>
      <w:r w:rsidRPr="00B92526">
        <w:t xml:space="preserve"> the optimal discharge pressure for a CO</w:t>
      </w:r>
      <w:r w:rsidRPr="00486835">
        <w:rPr>
          <w:vertAlign w:val="subscript"/>
        </w:rPr>
        <w:t>2</w:t>
      </w:r>
      <w:r w:rsidRPr="00B92526">
        <w:t xml:space="preserve"> heat pump. This method achieved a relative error close to 1.5%</w:t>
      </w:r>
      <w:r>
        <w:t xml:space="preserve"> </w:t>
      </w:r>
      <w:r w:rsidRPr="000A3177">
        <w:fldChar w:fldCharType="begin"/>
      </w:r>
      <w:r w:rsidR="00CB2661">
        <w:instrText xml:space="preserve"> ADDIN EN.CITE &lt;EndNote&gt;&lt;Cite&gt;&lt;Author&gt;Yin&lt;/Author&gt;&lt;Year&gt;2019&lt;/Year&gt;&lt;RecNum&gt;445&lt;/RecNum&gt;&lt;DisplayText&gt;[31]&lt;/DisplayText&gt;&lt;record&gt;&lt;rec-number&gt;445&lt;/rec-number&gt;&lt;foreign-keys&gt;&lt;key app="EN" db-id="zvr0eev5awpfx9e9faavww2prtw2dpd9r5dr" timestamp="1691842120"&gt;445&lt;/key&gt;&lt;/foreign-keys&gt;&lt;ref-type name="Journal Article"&gt;17&lt;/ref-type&gt;&lt;contributors&gt;&lt;authors&gt;&lt;author&gt;Yin, Xiang&lt;/author&gt;&lt;author&gt;Cao, Feng&lt;/author&gt;&lt;author&gt;Wang, Jing&lt;/author&gt;&lt;author&gt;Li, Mingjia&lt;/author&gt;&lt;author&gt;Wang, Xiaolin&lt;/author&gt;&lt;/authors&gt;&lt;/contributors&gt;&lt;titles&gt;&lt;title&gt;Investigations on optimal discharge pressure in CO2 heat pumps using the GMDH and PSO-BP type neural network—Part A: Theoretical modeling&lt;/title&gt;&lt;secondary-title&gt;International Journal of Refrigeration&lt;/secondary-title&gt;&lt;/titles&gt;&lt;periodical&gt;&lt;full-title&gt;International Journal of Refrigeration&lt;/full-title&gt;&lt;/periodical&gt;&lt;pages&gt;549-557&lt;/pages&gt;&lt;volume&gt;106&lt;/volume&gt;&lt;section&gt;549&lt;/section&gt;&lt;dates&gt;&lt;year&gt;2019&lt;/year&gt;&lt;/dates&gt;&lt;isbn&gt;01407007&lt;/isbn&gt;&lt;urls&gt;&lt;/urls&gt;&lt;electronic-resource-num&gt;10.1016/j.ijrefrig.2019.04.027&lt;/electronic-resource-num&gt;&lt;/record&gt;&lt;/Cite&gt;&lt;/EndNote&gt;</w:instrText>
      </w:r>
      <w:r w:rsidRPr="000A3177">
        <w:fldChar w:fldCharType="separate"/>
      </w:r>
      <w:r w:rsidR="00CB2661">
        <w:rPr>
          <w:noProof/>
        </w:rPr>
        <w:t>[31]</w:t>
      </w:r>
      <w:r w:rsidRPr="000A3177">
        <w:fldChar w:fldCharType="end"/>
      </w:r>
      <w:r w:rsidRPr="000A3177">
        <w:t>.</w:t>
      </w:r>
    </w:p>
    <w:p w14:paraId="49EAC921" w14:textId="53ECD358" w:rsidR="007B3C87" w:rsidRDefault="00232FCF" w:rsidP="00BA292E">
      <w:pPr>
        <w:ind w:firstLine="284"/>
      </w:pPr>
      <w:r>
        <w:t>Combined</w:t>
      </w:r>
      <w:r w:rsidRPr="00374838">
        <w:t xml:space="preserve"> DHW and space heating systems based on CO</w:t>
      </w:r>
      <w:r w:rsidRPr="00374838">
        <w:rPr>
          <w:vertAlign w:val="subscript"/>
        </w:rPr>
        <w:t>2</w:t>
      </w:r>
      <w:r w:rsidRPr="00374838">
        <w:t xml:space="preserve"> heat pumps</w:t>
      </w:r>
      <w:r>
        <w:t xml:space="preserve"> demand</w:t>
      </w:r>
      <w:r w:rsidRPr="00374838">
        <w:t xml:space="preserve"> careful attention to both system design and operational control.</w:t>
      </w:r>
      <w:r>
        <w:t xml:space="preserve"> </w:t>
      </w:r>
      <w:r w:rsidR="009D1BD3">
        <w:t>Based on experimental data from a CO</w:t>
      </w:r>
      <w:r w:rsidR="009D1BD3" w:rsidRPr="007E3851">
        <w:rPr>
          <w:vertAlign w:val="subscript"/>
        </w:rPr>
        <w:t>2</w:t>
      </w:r>
      <w:r w:rsidR="009D1BD3">
        <w:t xml:space="preserve"> heat pump rig at the University of Stavanger (UiS), this paper introduces an ANN-based model that effectively predicts the heat pump's performance under various operational conditions. The heat pump features two gas coolers, one for DHW production</w:t>
      </w:r>
      <w:r w:rsidR="00AC2FB1">
        <w:t>, the other</w:t>
      </w:r>
      <w:r w:rsidR="009D1BD3">
        <w:t xml:space="preserve"> for space heating. Using inlet conditions and process targets as input, the model predicts the performance and outlet conditions of the machine, relying only on externally measured parameters. This practical approach benefits industry professionals and building owners looking to </w:t>
      </w:r>
      <w:r w:rsidR="009D1BD3" w:rsidRPr="007E3851">
        <w:t>gain better control</w:t>
      </w:r>
      <w:r w:rsidR="009D1BD3">
        <w:t xml:space="preserve"> of and improve their heat pump systems.</w:t>
      </w:r>
    </w:p>
    <w:p w14:paraId="66756A25" w14:textId="2E9C271A" w:rsidR="009D1BD3" w:rsidRDefault="009D1BD3" w:rsidP="00BA292E">
      <w:pPr>
        <w:ind w:firstLine="284"/>
      </w:pPr>
      <w:r>
        <w:t>The paper is organized as follows: First a description of the CO</w:t>
      </w:r>
      <w:r w:rsidRPr="006854A0">
        <w:rPr>
          <w:vertAlign w:val="subscript"/>
        </w:rPr>
        <w:t>2</w:t>
      </w:r>
      <w:r>
        <w:t xml:space="preserve"> process, DHW production and space heating, and the experimental rig is given, before a discussion of the dataset, including the data collection, processing, and the model's structure. Then, the prediction results and their implications are presented and discussed</w:t>
      </w:r>
      <w:r w:rsidR="0059432E">
        <w:t xml:space="preserve">. The paper concludes </w:t>
      </w:r>
      <w:r w:rsidR="00C6473B">
        <w:t>with a discussion of p</w:t>
      </w:r>
      <w:r>
        <w:t xml:space="preserve">otential future research </w:t>
      </w:r>
      <w:r w:rsidR="00C6473B">
        <w:t xml:space="preserve">and development </w:t>
      </w:r>
      <w:r>
        <w:t>directions</w:t>
      </w:r>
      <w:r w:rsidR="00C6473B">
        <w:t xml:space="preserve"> and a summary of the findings</w:t>
      </w:r>
      <w:r>
        <w:t>.</w:t>
      </w:r>
    </w:p>
    <w:p w14:paraId="7CDF2D39" w14:textId="072D3B8D" w:rsidR="008B073A" w:rsidRDefault="008B073A" w:rsidP="00344D66">
      <w:pPr>
        <w:pStyle w:val="Section"/>
      </w:pPr>
      <w:r>
        <w:t>Methods and materials</w:t>
      </w:r>
    </w:p>
    <w:p w14:paraId="3435E0B8" w14:textId="2EB4371D" w:rsidR="008B073A" w:rsidRDefault="008B073A" w:rsidP="00157418">
      <w:pPr>
        <w:pStyle w:val="Heading2"/>
      </w:pPr>
      <w:r>
        <w:t>The experimental rig at UiS</w:t>
      </w:r>
    </w:p>
    <w:p w14:paraId="342118E5" w14:textId="662CD335" w:rsidR="00F13304" w:rsidRDefault="008B073A" w:rsidP="00F13304">
      <w:pPr>
        <w:rPr>
          <w:lang w:eastAsia="en-GB"/>
        </w:rPr>
      </w:pPr>
      <w:r w:rsidRPr="007E3851">
        <w:t>The experimental setup at UiS is designed to closely mimic a realistic system adaptable to various real-world applications.</w:t>
      </w:r>
      <w:r w:rsidRPr="00525EBE">
        <w:t xml:space="preserve"> At its core is a</w:t>
      </w:r>
      <w:r>
        <w:t>n industrial,</w:t>
      </w:r>
      <w:r w:rsidRPr="00525EBE">
        <w:t xml:space="preserve"> small-scale CO</w:t>
      </w:r>
      <w:r w:rsidRPr="00B85717">
        <w:rPr>
          <w:vertAlign w:val="subscript"/>
        </w:rPr>
        <w:t>2</w:t>
      </w:r>
      <w:r w:rsidRPr="00525EBE">
        <w:t xml:space="preserve"> heat pump, enhanced with extra instrumentation</w:t>
      </w:r>
      <w:r>
        <w:t xml:space="preserve">, </w:t>
      </w:r>
      <w:r w:rsidR="00157418">
        <w:t xml:space="preserve">as </w:t>
      </w:r>
      <w:r w:rsidR="0059432E">
        <w:t>illustrated</w:t>
      </w:r>
      <w:r w:rsidR="00871393">
        <w:t xml:space="preserve"> </w:t>
      </w:r>
      <w:r w:rsidR="0059432E">
        <w:t>in</w:t>
      </w:r>
      <w:r w:rsidRPr="00111186">
        <w:t xml:space="preserve"> </w:t>
      </w:r>
      <w:r w:rsidRPr="00111186">
        <w:fldChar w:fldCharType="begin"/>
      </w:r>
      <w:r w:rsidRPr="00111186">
        <w:instrText xml:space="preserve"> REF _Ref143983230 \h </w:instrText>
      </w:r>
      <w:r w:rsidR="00111186" w:rsidRPr="00111186">
        <w:instrText xml:space="preserve"> \* MERGEFORMAT </w:instrText>
      </w:r>
      <w:r w:rsidRPr="00111186">
        <w:fldChar w:fldCharType="separate"/>
      </w:r>
      <w:r w:rsidR="00CB2184" w:rsidRPr="00CB2184">
        <w:rPr>
          <w:rFonts w:ascii="Times New Roman" w:hAnsi="Times New Roman"/>
          <w:color w:val="000000"/>
          <w:szCs w:val="22"/>
          <w:lang w:eastAsia="en-GB"/>
        </w:rPr>
        <w:t xml:space="preserve">Figure </w:t>
      </w:r>
      <w:r w:rsidR="00CB2184" w:rsidRPr="00CB2184">
        <w:rPr>
          <w:rFonts w:ascii="Times New Roman" w:hAnsi="Times New Roman"/>
          <w:noProof/>
          <w:color w:val="000000"/>
          <w:szCs w:val="22"/>
          <w:lang w:eastAsia="en-GB"/>
        </w:rPr>
        <w:t>1</w:t>
      </w:r>
      <w:r w:rsidRPr="00111186">
        <w:fldChar w:fldCharType="end"/>
      </w:r>
      <w:r w:rsidR="0059432E">
        <w:t xml:space="preserve"> (a)</w:t>
      </w:r>
      <w:r>
        <w:t>.</w:t>
      </w:r>
    </w:p>
    <w:p w14:paraId="3C3ECB6E" w14:textId="5AAE43FA" w:rsidR="00AC2FB1" w:rsidRDefault="008B073A" w:rsidP="00581C25">
      <w:pPr>
        <w:ind w:firstLine="284"/>
      </w:pPr>
      <w:r w:rsidRPr="00FF1030">
        <w:t>The CO</w:t>
      </w:r>
      <w:r w:rsidRPr="00FF1030">
        <w:rPr>
          <w:vertAlign w:val="subscript"/>
        </w:rPr>
        <w:t>2</w:t>
      </w:r>
      <w:r w:rsidRPr="00FF1030">
        <w:t xml:space="preserve"> heat pump </w:t>
      </w:r>
      <w:r w:rsidR="0059432E">
        <w:t>has</w:t>
      </w:r>
      <w:r w:rsidRPr="00FF1030">
        <w:t xml:space="preserve"> an 8-kW nominal heating capacity, aligning well with the DHW </w:t>
      </w:r>
      <w:r w:rsidR="00581C25">
        <w:t>demands</w:t>
      </w:r>
      <w:r w:rsidRPr="00FF1030">
        <w:t xml:space="preserve"> of a medium-sized apartment building equipped with </w:t>
      </w:r>
      <w:r>
        <w:t xml:space="preserve">an </w:t>
      </w:r>
      <w:r w:rsidRPr="00FF1030">
        <w:t>accumulation system. The inverter-controlled compressor, a DORIN CD300H, offers a nominal cooling capacity spanning 2.2 kW to 5.2 kW</w:t>
      </w:r>
      <w:r>
        <w:t>.</w:t>
      </w:r>
      <w:r w:rsidR="00CC6A03">
        <w:t xml:space="preserve"> T</w:t>
      </w:r>
      <w:r>
        <w:t>he experimental rig is designed for both DHW and space-heating, featuring two gas coolers connected in series. The first gas cooler (GC</w:t>
      </w:r>
      <w:r w:rsidR="00157418">
        <w:t>-HT</w:t>
      </w:r>
      <w:r>
        <w:t xml:space="preserve">) is </w:t>
      </w:r>
      <w:r w:rsidR="00581C25">
        <w:t>designed</w:t>
      </w:r>
      <w:r>
        <w:t xml:space="preserve"> for DHW production, while the second one (GC</w:t>
      </w:r>
      <w:r w:rsidR="00157418">
        <w:t>-</w:t>
      </w:r>
      <w:r w:rsidR="0085626B">
        <w:t>L</w:t>
      </w:r>
      <w:r w:rsidR="00157418">
        <w:t>T</w:t>
      </w:r>
      <w:r>
        <w:t xml:space="preserve">) </w:t>
      </w:r>
      <w:r w:rsidR="00157418">
        <w:t xml:space="preserve">is </w:t>
      </w:r>
      <w:r>
        <w:t xml:space="preserve">for conventional space heating. </w:t>
      </w:r>
      <w:r w:rsidR="009D36FC" w:rsidRPr="009D36FC">
        <w:t>A temperature setpoint can be set at each gas cooler</w:t>
      </w:r>
      <w:r w:rsidR="009D36FC">
        <w:t>.</w:t>
      </w:r>
      <w:r>
        <w:t xml:space="preserve"> Due to their serial connection, the temperature configuration at the first gas cooler directly impacts the available heat at the second cooler.</w:t>
      </w:r>
      <w:r w:rsidR="009D36FC">
        <w:t xml:space="preserve"> C</w:t>
      </w:r>
      <w:r>
        <w:t>are in the selection of setpoints is essential to guarantee optimal performance across both gas coolers. The system can be calibrated to represent DHW production, building</w:t>
      </w:r>
      <w:r w:rsidR="0085626B">
        <w:t xml:space="preserve"> space</w:t>
      </w:r>
      <w:r>
        <w:t xml:space="preserve"> heating, or a combination of the two.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5739"/>
      </w:tblGrid>
      <w:tr w:rsidR="008E1EFB" w14:paraId="63660E62" w14:textId="77777777" w:rsidTr="00F3570D">
        <w:tc>
          <w:tcPr>
            <w:tcW w:w="3328" w:type="dxa"/>
          </w:tcPr>
          <w:p w14:paraId="3EF97CF0" w14:textId="77777777" w:rsidR="008E1EFB" w:rsidRDefault="008E1EFB" w:rsidP="00F3570D">
            <w:pPr>
              <w:rPr>
                <w:lang w:eastAsia="en-GB"/>
              </w:rPr>
            </w:pPr>
            <w:r>
              <w:rPr>
                <w:noProof/>
                <w:lang w:val="en-US"/>
              </w:rPr>
              <w:lastRenderedPageBreak/>
              <w:drawing>
                <wp:inline distT="0" distB="0" distL="0" distR="0" wp14:anchorId="08521943" wp14:editId="509FE685">
                  <wp:extent cx="2650331" cy="1987604"/>
                  <wp:effectExtent l="7303" t="0" r="5397" b="5398"/>
                  <wp:docPr id="1986274409" name="Picture 1" descr="A machine with a scree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74409" name="Picture 1" descr="A machine with a screen on i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rot="5400000">
                            <a:off x="0" y="0"/>
                            <a:ext cx="2651454" cy="1988446"/>
                          </a:xfrm>
                          <a:prstGeom prst="rect">
                            <a:avLst/>
                          </a:prstGeom>
                          <a:noFill/>
                          <a:ln>
                            <a:noFill/>
                          </a:ln>
                        </pic:spPr>
                      </pic:pic>
                    </a:graphicData>
                  </a:graphic>
                </wp:inline>
              </w:drawing>
            </w:r>
          </w:p>
        </w:tc>
        <w:tc>
          <w:tcPr>
            <w:tcW w:w="5733" w:type="dxa"/>
          </w:tcPr>
          <w:p w14:paraId="043AEB6B" w14:textId="77777777" w:rsidR="008E1EFB" w:rsidRDefault="008E1EFB" w:rsidP="00F3570D">
            <w:pPr>
              <w:rPr>
                <w:lang w:eastAsia="en-GB"/>
              </w:rPr>
            </w:pPr>
            <w:r>
              <w:rPr>
                <w:noProof/>
              </w:rPr>
              <w:drawing>
                <wp:inline distT="0" distB="0" distL="0" distR="0" wp14:anchorId="215B6B96" wp14:editId="4B3B2937">
                  <wp:extent cx="3546281" cy="2593681"/>
                  <wp:effectExtent l="0" t="0" r="0" b="0"/>
                  <wp:docPr id="4" name="Picture 4" descr="A diagram of a machine&#10;&#10;Description automatically generated">
                    <a:extLst xmlns:a="http://schemas.openxmlformats.org/drawingml/2006/main">
                      <a:ext uri="{FF2B5EF4-FFF2-40B4-BE49-F238E27FC236}">
                        <a16:creationId xmlns:a16="http://schemas.microsoft.com/office/drawing/2014/main" id="{B27B3FF0-7CF4-9666-9709-1A2910FC06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a machine&#10;&#10;Description automatically generated">
                            <a:extLst>
                              <a:ext uri="{FF2B5EF4-FFF2-40B4-BE49-F238E27FC236}">
                                <a16:creationId xmlns:a16="http://schemas.microsoft.com/office/drawing/2014/main" id="{B27B3FF0-7CF4-9666-9709-1A2910FC0682}"/>
                              </a:ext>
                            </a:extLst>
                          </pic:cNvPr>
                          <pic:cNvPicPr>
                            <a:picLocks noChangeAspect="1"/>
                          </pic:cNvPicPr>
                        </pic:nvPicPr>
                        <pic:blipFill>
                          <a:blip r:embed="rId10"/>
                          <a:stretch>
                            <a:fillRect/>
                          </a:stretch>
                        </pic:blipFill>
                        <pic:spPr>
                          <a:xfrm>
                            <a:off x="0" y="0"/>
                            <a:ext cx="3546281" cy="2593681"/>
                          </a:xfrm>
                          <a:prstGeom prst="rect">
                            <a:avLst/>
                          </a:prstGeom>
                        </pic:spPr>
                      </pic:pic>
                    </a:graphicData>
                  </a:graphic>
                </wp:inline>
              </w:drawing>
            </w:r>
          </w:p>
        </w:tc>
      </w:tr>
      <w:tr w:rsidR="008E1EFB" w14:paraId="62022BAB" w14:textId="77777777" w:rsidTr="00F3570D">
        <w:tc>
          <w:tcPr>
            <w:tcW w:w="9061" w:type="dxa"/>
            <w:gridSpan w:val="2"/>
          </w:tcPr>
          <w:p w14:paraId="5D42AD60" w14:textId="3E77748A" w:rsidR="008E1EFB" w:rsidRDefault="008E1EFB" w:rsidP="00F3570D">
            <w:pPr>
              <w:jc w:val="center"/>
              <w:rPr>
                <w:lang w:eastAsia="en-GB"/>
              </w:rPr>
            </w:pPr>
            <w:bookmarkStart w:id="0" w:name="_Ref143983230"/>
            <w:r w:rsidRPr="00DE218A">
              <w:rPr>
                <w:rFonts w:ascii="Times New Roman" w:hAnsi="Times New Roman"/>
                <w:b/>
                <w:color w:val="000000"/>
                <w:szCs w:val="22"/>
                <w:lang w:eastAsia="en-GB"/>
              </w:rPr>
              <w:t xml:space="preserve">Figure </w:t>
            </w:r>
            <w:r w:rsidRPr="00DE218A">
              <w:rPr>
                <w:rFonts w:ascii="Times New Roman" w:hAnsi="Times New Roman"/>
                <w:b/>
                <w:i/>
                <w:iCs/>
                <w:color w:val="000000"/>
                <w:szCs w:val="22"/>
                <w:lang w:eastAsia="en-GB"/>
              </w:rPr>
              <w:fldChar w:fldCharType="begin"/>
            </w:r>
            <w:r w:rsidRPr="00DE218A">
              <w:rPr>
                <w:rFonts w:ascii="Times New Roman" w:hAnsi="Times New Roman"/>
                <w:b/>
                <w:color w:val="000000"/>
                <w:szCs w:val="22"/>
                <w:lang w:eastAsia="en-GB"/>
              </w:rPr>
              <w:instrText xml:space="preserve"> SEQ Figure \* ARABIC </w:instrText>
            </w:r>
            <w:r w:rsidRPr="00DE218A">
              <w:rPr>
                <w:rFonts w:ascii="Times New Roman" w:hAnsi="Times New Roman"/>
                <w:b/>
                <w:i/>
                <w:iCs/>
                <w:color w:val="000000"/>
                <w:szCs w:val="22"/>
                <w:lang w:eastAsia="en-GB"/>
              </w:rPr>
              <w:fldChar w:fldCharType="separate"/>
            </w:r>
            <w:r w:rsidR="00CB2184">
              <w:rPr>
                <w:rFonts w:ascii="Times New Roman" w:hAnsi="Times New Roman"/>
                <w:b/>
                <w:noProof/>
                <w:color w:val="000000"/>
                <w:szCs w:val="22"/>
                <w:lang w:eastAsia="en-GB"/>
              </w:rPr>
              <w:t>1</w:t>
            </w:r>
            <w:r w:rsidRPr="00DE218A">
              <w:rPr>
                <w:rFonts w:ascii="Times New Roman" w:hAnsi="Times New Roman"/>
                <w:b/>
                <w:i/>
                <w:iCs/>
                <w:color w:val="000000"/>
                <w:szCs w:val="22"/>
                <w:lang w:eastAsia="en-GB"/>
              </w:rPr>
              <w:fldChar w:fldCharType="end"/>
            </w:r>
            <w:bookmarkEnd w:id="0"/>
            <w:r>
              <w:rPr>
                <w:rFonts w:ascii="Times New Roman" w:hAnsi="Times New Roman"/>
                <w:b/>
                <w:color w:val="000000"/>
                <w:szCs w:val="22"/>
                <w:lang w:eastAsia="en-GB"/>
              </w:rPr>
              <w:t>.</w:t>
            </w:r>
            <w:r w:rsidRPr="00DE218A">
              <w:rPr>
                <w:rFonts w:ascii="Times New Roman" w:hAnsi="Times New Roman"/>
                <w:b/>
                <w:color w:val="000000"/>
                <w:szCs w:val="22"/>
                <w:lang w:eastAsia="en-GB"/>
              </w:rPr>
              <w:t xml:space="preserve"> </w:t>
            </w:r>
            <w:r w:rsidR="000A0094" w:rsidRPr="000A0094">
              <w:rPr>
                <w:rFonts w:ascii="Times New Roman" w:hAnsi="Times New Roman"/>
                <w:bCs/>
                <w:color w:val="000000"/>
                <w:szCs w:val="22"/>
                <w:lang w:eastAsia="en-GB"/>
              </w:rPr>
              <w:t>(a)</w:t>
            </w:r>
            <w:r w:rsidR="000A0094">
              <w:rPr>
                <w:rFonts w:ascii="Times New Roman" w:hAnsi="Times New Roman"/>
                <w:b/>
                <w:color w:val="000000"/>
                <w:szCs w:val="22"/>
                <w:lang w:eastAsia="en-GB"/>
              </w:rPr>
              <w:t xml:space="preserve"> </w:t>
            </w:r>
            <w:r w:rsidRPr="00DE218A">
              <w:rPr>
                <w:rFonts w:ascii="Times New Roman" w:hAnsi="Times New Roman"/>
                <w:bCs/>
                <w:color w:val="000000"/>
                <w:szCs w:val="22"/>
                <w:lang w:eastAsia="en-GB"/>
              </w:rPr>
              <w:t>P</w:t>
            </w:r>
            <w:r w:rsidRPr="00F13304">
              <w:rPr>
                <w:rFonts w:ascii="Times New Roman" w:hAnsi="Times New Roman"/>
                <w:bCs/>
                <w:color w:val="000000"/>
                <w:szCs w:val="22"/>
                <w:lang w:eastAsia="en-GB"/>
              </w:rPr>
              <w:t>ump rig and CO</w:t>
            </w:r>
            <w:r w:rsidRPr="00F13304">
              <w:rPr>
                <w:rFonts w:ascii="Times New Roman" w:hAnsi="Times New Roman"/>
                <w:bCs/>
                <w:color w:val="000000"/>
                <w:szCs w:val="22"/>
                <w:vertAlign w:val="subscript"/>
                <w:lang w:eastAsia="en-GB"/>
              </w:rPr>
              <w:t>2</w:t>
            </w:r>
            <w:r w:rsidRPr="00F13304">
              <w:rPr>
                <w:rFonts w:ascii="Times New Roman" w:hAnsi="Times New Roman"/>
                <w:bCs/>
                <w:color w:val="000000"/>
                <w:szCs w:val="22"/>
                <w:lang w:eastAsia="en-GB"/>
              </w:rPr>
              <w:t xml:space="preserve"> heat pump</w:t>
            </w:r>
            <w:r w:rsidR="000A0094">
              <w:rPr>
                <w:rFonts w:ascii="Times New Roman" w:hAnsi="Times New Roman"/>
                <w:bCs/>
                <w:color w:val="000000"/>
                <w:szCs w:val="22"/>
                <w:lang w:eastAsia="en-GB"/>
              </w:rPr>
              <w:t>, (b)</w:t>
            </w:r>
            <w:r w:rsidRPr="00F13304">
              <w:rPr>
                <w:rFonts w:ascii="Times New Roman" w:hAnsi="Times New Roman"/>
                <w:bCs/>
                <w:color w:val="000000"/>
                <w:szCs w:val="22"/>
                <w:lang w:eastAsia="en-GB"/>
              </w:rPr>
              <w:t xml:space="preserve"> P&amp;ID pump rig system.</w:t>
            </w:r>
          </w:p>
        </w:tc>
      </w:tr>
    </w:tbl>
    <w:p w14:paraId="768DF4E9" w14:textId="77777777" w:rsidR="008E1EFB" w:rsidRDefault="008E1EFB" w:rsidP="00157418">
      <w:pPr>
        <w:ind w:firstLine="284"/>
      </w:pPr>
    </w:p>
    <w:p w14:paraId="70D74350" w14:textId="4F3C797A" w:rsidR="00157418" w:rsidRDefault="008B073A" w:rsidP="00157418">
      <w:pPr>
        <w:ind w:firstLine="284"/>
      </w:pPr>
      <w:r>
        <w:t xml:space="preserve">The rig </w:t>
      </w:r>
      <w:r w:rsidR="009D36FC">
        <w:t>connects</w:t>
      </w:r>
      <w:r>
        <w:t xml:space="preserve"> to the</w:t>
      </w:r>
      <w:r w:rsidR="0059432E">
        <w:t xml:space="preserve"> </w:t>
      </w:r>
      <w:r>
        <w:t>central cooling infrastructure</w:t>
      </w:r>
      <w:r w:rsidR="0059432E">
        <w:t xml:space="preserve"> at the UiS</w:t>
      </w:r>
      <w:r>
        <w:t xml:space="preserve"> </w:t>
      </w:r>
      <w:r w:rsidR="009D36FC">
        <w:t>through</w:t>
      </w:r>
      <w:r>
        <w:t xml:space="preserve"> a cold-water pipe. The temperature </w:t>
      </w:r>
      <w:r w:rsidR="0059432E">
        <w:t>of the water</w:t>
      </w:r>
      <w:r>
        <w:t xml:space="preserve"> this pipe varies between ca. +5°C and +20°C, depending on seasonal variations and the cooling requirements of the campus. </w:t>
      </w:r>
      <w:r w:rsidR="009D36FC" w:rsidRPr="009D36FC">
        <w:t>The cold-water pipe serves as the heat source for the evaporator and the thermal sink for the gas coolers.</w:t>
      </w:r>
      <w:r w:rsidR="0059432E">
        <w:t xml:space="preserve"> </w:t>
      </w:r>
    </w:p>
    <w:p w14:paraId="40C65678" w14:textId="0FB8F005" w:rsidR="00C178A3" w:rsidRDefault="008B073A" w:rsidP="008C473B">
      <w:pPr>
        <w:ind w:firstLine="284"/>
      </w:pPr>
      <w:r>
        <w:t xml:space="preserve">On the water side of the heat pump, each gas cooler and the evaporator are connected to their own dedicated circulation pump, </w:t>
      </w:r>
      <w:r w:rsidR="009D36FC">
        <w:t xml:space="preserve">as shown </w:t>
      </w:r>
      <w:r w:rsidR="00111186" w:rsidRPr="00232FCF">
        <w:fldChar w:fldCharType="begin"/>
      </w:r>
      <w:r w:rsidR="00111186" w:rsidRPr="00232FCF">
        <w:instrText xml:space="preserve"> REF _Ref143983230 \h </w:instrText>
      </w:r>
      <w:r w:rsidR="00232FCF" w:rsidRPr="00232FCF">
        <w:instrText xml:space="preserve"> \* MERGEFORMAT </w:instrText>
      </w:r>
      <w:r w:rsidR="00111186" w:rsidRPr="00232FCF">
        <w:fldChar w:fldCharType="separate"/>
      </w:r>
      <w:r w:rsidR="00CB2184" w:rsidRPr="00CB2184">
        <w:rPr>
          <w:rFonts w:ascii="Times New Roman" w:hAnsi="Times New Roman"/>
          <w:color w:val="000000"/>
          <w:szCs w:val="22"/>
          <w:lang w:eastAsia="en-GB"/>
        </w:rPr>
        <w:t xml:space="preserve">Figure </w:t>
      </w:r>
      <w:r w:rsidR="00CB2184" w:rsidRPr="00CB2184">
        <w:rPr>
          <w:rFonts w:ascii="Times New Roman" w:hAnsi="Times New Roman"/>
          <w:noProof/>
          <w:color w:val="000000"/>
          <w:szCs w:val="22"/>
          <w:lang w:eastAsia="en-GB"/>
        </w:rPr>
        <w:t>1</w:t>
      </w:r>
      <w:r w:rsidR="00111186" w:rsidRPr="00232FCF">
        <w:fldChar w:fldCharType="end"/>
      </w:r>
      <w:r w:rsidR="0059432E">
        <w:t xml:space="preserve"> (b)</w:t>
      </w:r>
      <w:r w:rsidRPr="00232FCF">
        <w:t xml:space="preserve">. Currently, the mass flow rate across each heat exchanger remains approximately constant. </w:t>
      </w:r>
      <w:r w:rsidR="009D36FC" w:rsidRPr="009D36FC">
        <w:t xml:space="preserve">Shunt valves on the water side of the gas coolers enable adjusting inlet temperatures by </w:t>
      </w:r>
      <w:r w:rsidR="009D36FC">
        <w:t>mixing in</w:t>
      </w:r>
      <w:r w:rsidR="009D36FC" w:rsidRPr="009D36FC">
        <w:t xml:space="preserve"> hot water </w:t>
      </w:r>
      <w:r w:rsidR="0059432E">
        <w:t>produced at</w:t>
      </w:r>
      <w:r w:rsidR="009D36FC" w:rsidRPr="009D36FC">
        <w:t xml:space="preserve"> the same gas cooler</w:t>
      </w:r>
      <w:r w:rsidR="009D36FC">
        <w:t xml:space="preserve">. </w:t>
      </w:r>
      <w:r w:rsidRPr="00232FCF">
        <w:t>This feature allows the user to quickly determine the gas cooler outlet</w:t>
      </w:r>
      <w:r w:rsidR="0059432E">
        <w:t xml:space="preserve"> CO</w:t>
      </w:r>
      <w:r w:rsidR="0059432E" w:rsidRPr="0059432E">
        <w:rPr>
          <w:vertAlign w:val="subscript"/>
        </w:rPr>
        <w:t>2</w:t>
      </w:r>
      <w:r w:rsidRPr="00232FCF">
        <w:t xml:space="preserve"> temperature’s influence on available heat and process COP. The only uncontrollable variable in the configuration is the cold-water temperature, which essentially functions as the low-temperature</w:t>
      </w:r>
      <w:r>
        <w:t xml:space="preserve"> heat source for the heat pump.</w:t>
      </w:r>
    </w:p>
    <w:p w14:paraId="1DAC6EC6" w14:textId="6148CCEC" w:rsidR="008B073A" w:rsidRDefault="008B073A" w:rsidP="008C473B">
      <w:pPr>
        <w:pStyle w:val="Heading2"/>
      </w:pPr>
      <w:r>
        <w:t>Model structure</w:t>
      </w:r>
      <w:r w:rsidR="008C473B">
        <w:t xml:space="preserve">, </w:t>
      </w:r>
      <w:r w:rsidR="00157418" w:rsidRPr="00157418">
        <w:t>Data capture</w:t>
      </w:r>
      <w:r w:rsidR="00157418">
        <w:t xml:space="preserve"> and </w:t>
      </w:r>
      <w:r w:rsidR="008C473B">
        <w:t>P</w:t>
      </w:r>
      <w:r w:rsidR="00157418">
        <w:t>rocessing</w:t>
      </w:r>
    </w:p>
    <w:p w14:paraId="53D774C8" w14:textId="4A416C41" w:rsidR="00AC59C8" w:rsidRDefault="008C473B" w:rsidP="008B073A">
      <w:r w:rsidRPr="00917F69">
        <w:t xml:space="preserve">The primary objective of this </w:t>
      </w:r>
      <w:r>
        <w:t>work</w:t>
      </w:r>
      <w:r w:rsidRPr="00917F69">
        <w:t xml:space="preserve"> was to </w:t>
      </w:r>
      <w:r>
        <w:t>develop</w:t>
      </w:r>
      <w:r w:rsidRPr="00917F69">
        <w:t xml:space="preserve"> a model capable of swiftly predicting the performance of the CO</w:t>
      </w:r>
      <w:r w:rsidRPr="00917F69">
        <w:rPr>
          <w:vertAlign w:val="subscript"/>
        </w:rPr>
        <w:t xml:space="preserve">2 </w:t>
      </w:r>
      <w:r w:rsidRPr="00917F69">
        <w:t>heat pump</w:t>
      </w:r>
      <w:r w:rsidR="0085626B">
        <w:t xml:space="preserve"> </w:t>
      </w:r>
      <w:r w:rsidRPr="00917F69">
        <w:t xml:space="preserve">under varied operational conditions, with a focus on controllable setpoints and </w:t>
      </w:r>
      <w:r>
        <w:t>changing</w:t>
      </w:r>
      <w:r w:rsidRPr="00917F69">
        <w:t xml:space="preserve"> inlet values.</w:t>
      </w:r>
      <w:r>
        <w:t xml:space="preserve"> T</w:t>
      </w:r>
      <w:r w:rsidRPr="00917F69">
        <w:t>he model was</w:t>
      </w:r>
      <w:r>
        <w:t xml:space="preserve"> constructed </w:t>
      </w:r>
      <w:r w:rsidRPr="00917F69">
        <w:t>to predict heat production at both gas coolers, the electricity consumption of the heat pump, and</w:t>
      </w:r>
      <w:r>
        <w:t xml:space="preserve"> </w:t>
      </w:r>
      <w:r w:rsidRPr="00917F69">
        <w:t xml:space="preserve">outlet temperatures for each heat exchanger. Inputs </w:t>
      </w:r>
      <w:r>
        <w:t>were</w:t>
      </w:r>
      <w:r w:rsidRPr="00917F69">
        <w:t xml:space="preserve"> flow and temperature to each heat exchanger, along with the heat production setpoint at the GC</w:t>
      </w:r>
      <w:r w:rsidR="0085626B">
        <w:t>-LT</w:t>
      </w:r>
      <w:r w:rsidRPr="00917F69">
        <w:t>.</w:t>
      </w:r>
      <w:r>
        <w:t xml:space="preserve"> DHW was always prioritized with a setpoint of +60 °C at the GC</w:t>
      </w:r>
      <w:r w:rsidR="0085626B">
        <w:t>-HT</w:t>
      </w:r>
      <w:r>
        <w:t xml:space="preserve">, and therefore this setpoint was not selected as model input. </w:t>
      </w:r>
    </w:p>
    <w:p w14:paraId="5FB60758" w14:textId="32DE1024" w:rsidR="00F13304" w:rsidRPr="00232FCF" w:rsidRDefault="008B073A" w:rsidP="00232FCF">
      <w:pPr>
        <w:ind w:firstLine="284"/>
      </w:pPr>
      <w:r>
        <w:t>To gather a comprehensive dataset, a systematic variation of the input parameters was conducted by adjusting the inlet temperatures for each gas cooler and the production temperature setpoint for GC</w:t>
      </w:r>
      <w:r w:rsidR="0085626B">
        <w:t>-LT</w:t>
      </w:r>
      <w:r>
        <w:t xml:space="preserve">. This process was carried out over a month, from May 11th to June 10th, 2023. For every parameter combination, the system operated </w:t>
      </w:r>
      <w:r w:rsidR="00157418">
        <w:t xml:space="preserve">for </w:t>
      </w:r>
      <w:r>
        <w:t>at least 20 minutes, ensuring that it reached and maintained steady conditions. These variations aimed to produce a dataset that mirrors potential operational conditions for a combined building heating and DHW production heat pump.</w:t>
      </w:r>
      <w:r w:rsidR="00232FCF">
        <w:t xml:space="preserve"> </w:t>
      </w:r>
      <w:r>
        <w:t>T</w:t>
      </w:r>
      <w:r w:rsidRPr="002202A4">
        <w:t>he GC</w:t>
      </w:r>
      <w:r w:rsidR="0085626B">
        <w:t>-HT</w:t>
      </w:r>
      <w:r w:rsidRPr="002202A4">
        <w:t xml:space="preserve"> consistently maintained a production setpoint of +60 °C for DHW production, with inlet temperatures varying between +10 °C and +55 °C at 5 K intervals. Meanwhile, the GC</w:t>
      </w:r>
      <w:r w:rsidR="0085626B">
        <w:t>-LT</w:t>
      </w:r>
      <w:r w:rsidRPr="002202A4">
        <w:t xml:space="preserve"> operated at setpoints of either +40 °C or +50 °C. Its inlet temperatures started at +10°C and rose in 5 K steps, </w:t>
      </w:r>
      <w:r w:rsidRPr="00111186">
        <w:t xml:space="preserve">stopping 5 K below the </w:t>
      </w:r>
      <w:r w:rsidR="00581C25">
        <w:t>selected</w:t>
      </w:r>
      <w:r w:rsidRPr="00111186">
        <w:t xml:space="preserve"> setpoint. This methodology resulted in 130 unique parameter configurations. </w:t>
      </w:r>
      <w:r w:rsidRPr="00111186">
        <w:fldChar w:fldCharType="begin"/>
      </w:r>
      <w:r w:rsidRPr="00111186">
        <w:instrText xml:space="preserve"> REF _Ref143495641 \h </w:instrText>
      </w:r>
      <w:r w:rsidR="00111186" w:rsidRPr="00111186">
        <w:instrText xml:space="preserve"> \* MERGEFORMAT </w:instrText>
      </w:r>
      <w:r w:rsidRPr="00111186">
        <w:fldChar w:fldCharType="separate"/>
      </w:r>
      <w:r w:rsidR="00CB2184" w:rsidRPr="00CB2184">
        <w:rPr>
          <w:rFonts w:ascii="Times New Roman" w:hAnsi="Times New Roman"/>
          <w:lang w:eastAsia="en-GB"/>
        </w:rPr>
        <w:t xml:space="preserve">Figure </w:t>
      </w:r>
      <w:r w:rsidR="00CB2184" w:rsidRPr="00CB2184">
        <w:rPr>
          <w:rFonts w:ascii="Times New Roman" w:hAnsi="Times New Roman"/>
          <w:noProof/>
          <w:lang w:eastAsia="en-GB"/>
        </w:rPr>
        <w:t>2</w:t>
      </w:r>
      <w:r w:rsidRPr="00111186">
        <w:fldChar w:fldCharType="end"/>
      </w:r>
      <w:r w:rsidRPr="00111186">
        <w:t xml:space="preserve"> provides</w:t>
      </w:r>
      <w:r w:rsidRPr="002202A4">
        <w:t xml:space="preserve"> a visual representation of the inlet temperature </w:t>
      </w:r>
      <w:r>
        <w:t>variations</w:t>
      </w:r>
      <w:r w:rsidRPr="002202A4">
        <w:t xml:space="preserve"> over </w:t>
      </w:r>
      <w:r w:rsidR="00581C25">
        <w:t>a day</w:t>
      </w:r>
      <w:r w:rsidRPr="002202A4">
        <w:t>.</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3"/>
      </w:tblGrid>
      <w:tr w:rsidR="00F13304" w14:paraId="2415904B" w14:textId="77777777" w:rsidTr="00111186">
        <w:tc>
          <w:tcPr>
            <w:tcW w:w="9061" w:type="dxa"/>
          </w:tcPr>
          <w:p w14:paraId="36DF0026" w14:textId="52E27F19" w:rsidR="00F13304" w:rsidRDefault="00FE12B4" w:rsidP="00C178A3">
            <w:pPr>
              <w:pStyle w:val="FigureCaption"/>
              <w:spacing w:before="120"/>
              <w:ind w:left="0"/>
              <w:rPr>
                <w:rFonts w:ascii="Times New Roman" w:hAnsi="Times New Roman"/>
                <w:bCs/>
                <w:lang w:eastAsia="en-GB"/>
              </w:rPr>
            </w:pPr>
            <w:r>
              <w:rPr>
                <w:rFonts w:ascii="Times New Roman" w:hAnsi="Times New Roman"/>
                <w:bCs/>
                <w:noProof/>
                <w:lang w:eastAsia="en-GB"/>
              </w:rPr>
              <w:lastRenderedPageBreak/>
              <w:drawing>
                <wp:inline distT="0" distB="0" distL="0" distR="0" wp14:anchorId="5632B28E" wp14:editId="1C32E66C">
                  <wp:extent cx="4253948" cy="2814239"/>
                  <wp:effectExtent l="0" t="0" r="0" b="5715"/>
                  <wp:docPr id="1365303065" name="Picture 9"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03065" name="Picture 9" descr="A screen shot of a graph&#10;&#10;Description automatically generated"/>
                          <pic:cNvPicPr/>
                        </pic:nvPicPr>
                        <pic:blipFill>
                          <a:blip r:embed="rId11"/>
                          <a:stretch>
                            <a:fillRect/>
                          </a:stretch>
                        </pic:blipFill>
                        <pic:spPr>
                          <a:xfrm>
                            <a:off x="0" y="0"/>
                            <a:ext cx="4296662" cy="2842497"/>
                          </a:xfrm>
                          <a:prstGeom prst="rect">
                            <a:avLst/>
                          </a:prstGeom>
                        </pic:spPr>
                      </pic:pic>
                    </a:graphicData>
                  </a:graphic>
                </wp:inline>
              </w:drawing>
            </w:r>
          </w:p>
        </w:tc>
      </w:tr>
      <w:tr w:rsidR="00F13304" w:rsidRPr="00C206AA" w14:paraId="3100A7A6" w14:textId="77777777" w:rsidTr="00111186">
        <w:tc>
          <w:tcPr>
            <w:tcW w:w="9061" w:type="dxa"/>
          </w:tcPr>
          <w:p w14:paraId="6A4D4298" w14:textId="553777A6" w:rsidR="00F13304" w:rsidRPr="00C206AA" w:rsidRDefault="00F13304" w:rsidP="00C178A3">
            <w:pPr>
              <w:pStyle w:val="FigureCaption"/>
              <w:spacing w:before="120"/>
              <w:ind w:left="0"/>
              <w:rPr>
                <w:rFonts w:ascii="Times New Roman" w:hAnsi="Times New Roman"/>
                <w:bCs/>
                <w:lang w:val="en-US" w:eastAsia="en-GB"/>
              </w:rPr>
            </w:pPr>
            <w:bookmarkStart w:id="1" w:name="_Ref143495641"/>
            <w:r w:rsidRPr="00DE218A">
              <w:rPr>
                <w:rFonts w:ascii="Times New Roman" w:hAnsi="Times New Roman"/>
                <w:b/>
                <w:lang w:eastAsia="en-GB"/>
              </w:rPr>
              <w:t xml:space="preserve">Figure </w:t>
            </w:r>
            <w:r w:rsidRPr="00DE218A">
              <w:rPr>
                <w:rFonts w:ascii="Times New Roman" w:hAnsi="Times New Roman"/>
                <w:b/>
                <w:lang w:eastAsia="en-GB"/>
              </w:rPr>
              <w:fldChar w:fldCharType="begin"/>
            </w:r>
            <w:r w:rsidRPr="00DE218A">
              <w:rPr>
                <w:rFonts w:ascii="Times New Roman" w:hAnsi="Times New Roman"/>
                <w:b/>
                <w:lang w:eastAsia="en-GB"/>
              </w:rPr>
              <w:instrText xml:space="preserve"> SEQ Figure \* ARABIC </w:instrText>
            </w:r>
            <w:r w:rsidRPr="00DE218A">
              <w:rPr>
                <w:rFonts w:ascii="Times New Roman" w:hAnsi="Times New Roman"/>
                <w:b/>
                <w:lang w:eastAsia="en-GB"/>
              </w:rPr>
              <w:fldChar w:fldCharType="separate"/>
            </w:r>
            <w:r w:rsidR="00CB2184">
              <w:rPr>
                <w:rFonts w:ascii="Times New Roman" w:hAnsi="Times New Roman"/>
                <w:b/>
                <w:noProof/>
                <w:lang w:eastAsia="en-GB"/>
              </w:rPr>
              <w:t>2</w:t>
            </w:r>
            <w:r w:rsidRPr="00DE218A">
              <w:rPr>
                <w:rFonts w:ascii="Times New Roman" w:hAnsi="Times New Roman"/>
                <w:b/>
                <w:lang w:eastAsia="en-GB"/>
              </w:rPr>
              <w:fldChar w:fldCharType="end"/>
            </w:r>
            <w:bookmarkEnd w:id="1"/>
            <w:r>
              <w:rPr>
                <w:rFonts w:ascii="Times New Roman" w:hAnsi="Times New Roman"/>
                <w:b/>
                <w:lang w:eastAsia="en-GB"/>
              </w:rPr>
              <w:t>.</w:t>
            </w:r>
            <w:r w:rsidRPr="00DE218A">
              <w:rPr>
                <w:rFonts w:ascii="Times New Roman" w:hAnsi="Times New Roman"/>
                <w:b/>
                <w:lang w:eastAsia="en-GB"/>
              </w:rPr>
              <w:t xml:space="preserve"> </w:t>
            </w:r>
            <w:r w:rsidR="00041812" w:rsidRPr="00041812">
              <w:rPr>
                <w:rFonts w:ascii="Times New Roman" w:hAnsi="Times New Roman"/>
                <w:bCs/>
                <w:lang w:eastAsia="en-GB"/>
              </w:rPr>
              <w:t>Example of</w:t>
            </w:r>
            <w:r w:rsidR="00041812">
              <w:rPr>
                <w:rFonts w:ascii="Times New Roman" w:hAnsi="Times New Roman"/>
                <w:b/>
                <w:lang w:eastAsia="en-GB"/>
              </w:rPr>
              <w:t xml:space="preserve"> </w:t>
            </w:r>
            <w:r w:rsidR="00041812">
              <w:rPr>
                <w:rFonts w:ascii="Times New Roman" w:hAnsi="Times New Roman"/>
                <w:bCs/>
                <w:lang w:val="en-US" w:eastAsia="en-GB"/>
              </w:rPr>
              <w:t>va</w:t>
            </w:r>
            <w:r w:rsidR="00C206AA" w:rsidRPr="00C206AA">
              <w:rPr>
                <w:rFonts w:ascii="Times New Roman" w:hAnsi="Times New Roman"/>
                <w:bCs/>
                <w:lang w:val="en-US" w:eastAsia="en-GB"/>
              </w:rPr>
              <w:t>riation of</w:t>
            </w:r>
            <w:r w:rsidRPr="00C206AA">
              <w:rPr>
                <w:rFonts w:ascii="Times New Roman" w:hAnsi="Times New Roman"/>
                <w:bCs/>
                <w:lang w:val="en-US" w:eastAsia="en-GB"/>
              </w:rPr>
              <w:t xml:space="preserve"> in</w:t>
            </w:r>
            <w:r w:rsidR="00041812">
              <w:rPr>
                <w:rFonts w:ascii="Times New Roman" w:hAnsi="Times New Roman"/>
                <w:bCs/>
                <w:lang w:val="en-US" w:eastAsia="en-GB"/>
              </w:rPr>
              <w:t xml:space="preserve">puts </w:t>
            </w:r>
            <w:r w:rsidRPr="00C206AA">
              <w:rPr>
                <w:rFonts w:ascii="Times New Roman" w:hAnsi="Times New Roman"/>
                <w:bCs/>
                <w:lang w:val="en-US" w:eastAsia="en-GB"/>
              </w:rPr>
              <w:t>to generate dataset.</w:t>
            </w:r>
          </w:p>
        </w:tc>
      </w:tr>
    </w:tbl>
    <w:p w14:paraId="5AF2E584" w14:textId="77777777" w:rsidR="008C473B" w:rsidRPr="00C206AA" w:rsidRDefault="008C473B" w:rsidP="008B073A">
      <w:pPr>
        <w:rPr>
          <w:lang w:val="en-US"/>
        </w:rPr>
      </w:pPr>
    </w:p>
    <w:p w14:paraId="6289F4AF" w14:textId="0F5165F8" w:rsidR="00157418" w:rsidRDefault="008B073A" w:rsidP="008B073A">
      <w:r w:rsidRPr="002202A4">
        <w:t>In this configuration, the machine consistently prioritizes DHW production. When the GC</w:t>
      </w:r>
      <w:r w:rsidR="00581C25">
        <w:t>-HT</w:t>
      </w:r>
      <w:r w:rsidRPr="002202A4">
        <w:t xml:space="preserve"> inlet temperature is low, most of </w:t>
      </w:r>
      <w:r>
        <w:t>the heat pump</w:t>
      </w:r>
      <w:r w:rsidRPr="002202A4">
        <w:t xml:space="preserve"> output serves DHW production, leaving only a small portion for s</w:t>
      </w:r>
      <w:r>
        <w:t>pace</w:t>
      </w:r>
      <w:r w:rsidRPr="002202A4">
        <w:t xml:space="preserve"> heating. This situation </w:t>
      </w:r>
      <w:r>
        <w:t xml:space="preserve">represents </w:t>
      </w:r>
      <w:r w:rsidR="0059432E">
        <w:t xml:space="preserve">the </w:t>
      </w:r>
      <w:r>
        <w:t xml:space="preserve">heating </w:t>
      </w:r>
      <w:r w:rsidRPr="002202A4">
        <w:t xml:space="preserve">cold mains water. </w:t>
      </w:r>
      <w:r>
        <w:t>W</w:t>
      </w:r>
      <w:r w:rsidRPr="002202A4">
        <w:t>ith a higher GC</w:t>
      </w:r>
      <w:r w:rsidR="00581C25">
        <w:t>-HT</w:t>
      </w:r>
      <w:r w:rsidRPr="002202A4">
        <w:t xml:space="preserve"> inlet temperature, </w:t>
      </w:r>
      <w:r>
        <w:t>less</w:t>
      </w:r>
      <w:r w:rsidRPr="002202A4">
        <w:t xml:space="preserve"> of the heat pump's capacity is</w:t>
      </w:r>
      <w:r>
        <w:t xml:space="preserve"> available f</w:t>
      </w:r>
      <w:r w:rsidRPr="002202A4">
        <w:t>or DHW, and the rest is allocated to</w:t>
      </w:r>
      <w:r w:rsidR="0059432E">
        <w:t xml:space="preserve"> space</w:t>
      </w:r>
      <w:r w:rsidRPr="002202A4">
        <w:t xml:space="preserve"> heating</w:t>
      </w:r>
      <w:r w:rsidR="006A4DCD">
        <w:t>.</w:t>
      </w:r>
      <w:r>
        <w:t xml:space="preserve"> </w:t>
      </w:r>
      <w:r w:rsidR="006A4DCD">
        <w:t>T</w:t>
      </w:r>
      <w:r>
        <w:t>he amount of heat depend</w:t>
      </w:r>
      <w:r w:rsidR="00C47EDD">
        <w:t>s</w:t>
      </w:r>
      <w:r>
        <w:t xml:space="preserve"> on the</w:t>
      </w:r>
      <w:r w:rsidRPr="002202A4">
        <w:t xml:space="preserve"> GC</w:t>
      </w:r>
      <w:r w:rsidR="00581C25">
        <w:t>-LT</w:t>
      </w:r>
      <w:r w:rsidRPr="002202A4">
        <w:t xml:space="preserve"> water inlet temperature. Such a scenario </w:t>
      </w:r>
      <w:r>
        <w:t>can</w:t>
      </w:r>
      <w:r w:rsidRPr="002202A4">
        <w:t xml:space="preserve"> </w:t>
      </w:r>
      <w:r>
        <w:t xml:space="preserve">represent </w:t>
      </w:r>
      <w:r w:rsidRPr="002202A4">
        <w:t>the heat pump heat</w:t>
      </w:r>
      <w:r>
        <w:t>ing</w:t>
      </w:r>
      <w:r w:rsidRPr="002202A4">
        <w:t xml:space="preserve"> </w:t>
      </w:r>
      <w:r>
        <w:t>a mix of cold mains water and higher temperature</w:t>
      </w:r>
      <w:r w:rsidRPr="002202A4">
        <w:t xml:space="preserve"> water </w:t>
      </w:r>
      <w:r>
        <w:t>from</w:t>
      </w:r>
      <w:r w:rsidRPr="002202A4">
        <w:t xml:space="preserve"> an accumulator tank</w:t>
      </w:r>
      <w:r>
        <w:t xml:space="preserve"> without stratification.</w:t>
      </w:r>
    </w:p>
    <w:p w14:paraId="6E11D2E4" w14:textId="49304679" w:rsidR="008B073A" w:rsidRDefault="008B073A" w:rsidP="00157418">
      <w:pPr>
        <w:ind w:firstLine="284"/>
      </w:pPr>
      <w:r>
        <w:t xml:space="preserve">The data were selected and downloaded manually from the digital control system of the rig. </w:t>
      </w:r>
      <w:r w:rsidR="006A4DCD">
        <w:t>During preprocessing, the data w</w:t>
      </w:r>
      <w:r w:rsidR="006A4DCD" w:rsidRPr="006A4DCD">
        <w:t>ere refined by removing outliers, noise</w:t>
      </w:r>
      <w:r w:rsidR="00D20F5E">
        <w:t xml:space="preserve"> cancellation,</w:t>
      </w:r>
      <w:r w:rsidR="006A4DCD" w:rsidRPr="006A4DCD">
        <w:t xml:space="preserve"> and resampling to a uniform 30-second interval to ensure consistency in later analysis and model</w:t>
      </w:r>
      <w:r w:rsidR="006A4DCD">
        <w:t>l</w:t>
      </w:r>
      <w:r w:rsidR="006A4DCD" w:rsidRPr="006A4DCD">
        <w:t>ing</w:t>
      </w:r>
      <w:r>
        <w:t>.</w:t>
      </w:r>
    </w:p>
    <w:p w14:paraId="3AF14461" w14:textId="77777777" w:rsidR="008B073A" w:rsidRDefault="008B073A" w:rsidP="00157418">
      <w:pPr>
        <w:pStyle w:val="Heading2"/>
      </w:pPr>
      <w:r>
        <w:t>ANN and Model Development</w:t>
      </w:r>
    </w:p>
    <w:p w14:paraId="5691A9B3" w14:textId="7775F66E" w:rsidR="004C3E89" w:rsidRDefault="008B073A" w:rsidP="00BD1FCD">
      <w:r w:rsidRPr="008D4FAA">
        <w:t xml:space="preserve">A data-driven model for the heat pump operation was developed using the collected data. ANNs were </w:t>
      </w:r>
      <w:r w:rsidR="006A4DCD">
        <w:t>chosen</w:t>
      </w:r>
      <w:r w:rsidRPr="008D4FAA">
        <w:t xml:space="preserve"> </w:t>
      </w:r>
      <w:r w:rsidR="006A4DCD">
        <w:t>for</w:t>
      </w:r>
      <w:r w:rsidRPr="008D4FAA">
        <w:t xml:space="preserve"> to their adaptability and </w:t>
      </w:r>
      <w:r w:rsidR="005533C8" w:rsidRPr="005533C8">
        <w:t>ability</w:t>
      </w:r>
      <w:r w:rsidRPr="008D4FAA">
        <w:t xml:space="preserve"> </w:t>
      </w:r>
      <w:r w:rsidR="006A4DCD">
        <w:t xml:space="preserve">to </w:t>
      </w:r>
      <w:r w:rsidRPr="008D4FAA">
        <w:t>handl</w:t>
      </w:r>
      <w:r w:rsidR="006A4DCD">
        <w:t>e</w:t>
      </w:r>
      <w:r w:rsidRPr="008D4FAA">
        <w:t xml:space="preserve"> complex patterns and relationships </w:t>
      </w:r>
      <w:r w:rsidR="006A4DCD">
        <w:t>i</w:t>
      </w:r>
      <w:r w:rsidRPr="008D4FAA">
        <w:t xml:space="preserve">n the data. </w:t>
      </w:r>
      <w:r w:rsidR="00726518" w:rsidRPr="00726518">
        <w:t xml:space="preserve">Once the ANN model has been trained and set up, it offers a user-friendly tool that engineers or operators can utilize without requiring a deep understanding of its architecture. Users can </w:t>
      </w:r>
      <w:r w:rsidR="006A4DCD">
        <w:t xml:space="preserve">enter </w:t>
      </w:r>
      <w:r w:rsidR="00726518" w:rsidRPr="00726518">
        <w:t xml:space="preserve">the </w:t>
      </w:r>
      <w:r w:rsidR="00726518">
        <w:t xml:space="preserve">defined input </w:t>
      </w:r>
      <w:r w:rsidR="00726518" w:rsidRPr="00726518">
        <w:t>parameters</w:t>
      </w:r>
      <w:r w:rsidR="00726518">
        <w:t xml:space="preserve"> to model</w:t>
      </w:r>
      <w:r w:rsidR="00726518" w:rsidRPr="00726518">
        <w:t xml:space="preserve"> and instantly receive predictions </w:t>
      </w:r>
      <w:r w:rsidR="00726518">
        <w:t xml:space="preserve">of </w:t>
      </w:r>
      <w:r w:rsidR="00726518" w:rsidRPr="00726518">
        <w:t xml:space="preserve">outlet temperatures and energy </w:t>
      </w:r>
      <w:r w:rsidR="00726518">
        <w:t>consumption</w:t>
      </w:r>
      <w:r w:rsidR="00726518" w:rsidRPr="00726518">
        <w:t>. Within an integrated system, the ANN provides high-precision</w:t>
      </w:r>
      <w:r w:rsidR="00D400DF">
        <w:t xml:space="preserve"> predictions</w:t>
      </w:r>
      <w:r w:rsidR="00726518" w:rsidRPr="00726518">
        <w:t xml:space="preserve">, eliminating the need for potentially time-consuming recalculations. </w:t>
      </w:r>
      <w:r w:rsidR="006A4DCD" w:rsidRPr="006A4DCD">
        <w:t>This approach facilitates real-time monitoring and adjustment of the heat pump system, potentially optimizing its performance and energy efficiency.</w:t>
      </w:r>
      <w:r w:rsidR="00BD1FCD">
        <w:t xml:space="preserve"> </w:t>
      </w:r>
      <w:r w:rsidR="006A4DCD" w:rsidRPr="006A4DCD">
        <w:t>The primary limitation of this method, within the presented framework, is the model's strong dependency on its training data.</w:t>
      </w:r>
      <w:r w:rsidR="004C3E89">
        <w:t xml:space="preserve"> </w:t>
      </w:r>
      <w:r w:rsidR="006A4DCD" w:rsidRPr="006A4DCD">
        <w:t xml:space="preserve">Values outside the model's training bounds </w:t>
      </w:r>
      <w:r w:rsidR="00D20F5E">
        <w:t>may</w:t>
      </w:r>
      <w:r w:rsidR="006A4DCD" w:rsidRPr="006A4DCD">
        <w:t xml:space="preserve"> yield results with notable inaccuracies</w:t>
      </w:r>
      <w:r w:rsidR="006A4DCD">
        <w:t>.</w:t>
      </w:r>
    </w:p>
    <w:p w14:paraId="4E03EB52" w14:textId="4AAC7F04" w:rsidR="008B073A" w:rsidRDefault="008B073A" w:rsidP="004C3E89">
      <w:pPr>
        <w:ind w:firstLine="284"/>
      </w:pPr>
      <w:r w:rsidRPr="00BA5027">
        <w:fldChar w:fldCharType="begin"/>
      </w:r>
      <w:r w:rsidRPr="00BA5027">
        <w:instrText xml:space="preserve"> REF _Ref142818507 \h  \* MERGEFORMAT </w:instrText>
      </w:r>
      <w:r w:rsidRPr="00BA5027">
        <w:fldChar w:fldCharType="separate"/>
      </w:r>
      <w:r w:rsidR="00CB2184" w:rsidRPr="00CB2184">
        <w:t>Figure 3</w:t>
      </w:r>
      <w:r w:rsidRPr="00BA5027">
        <w:fldChar w:fldCharType="end"/>
      </w:r>
      <w:r w:rsidRPr="00BA5027">
        <w:t xml:space="preserve"> </w:t>
      </w:r>
      <w:r w:rsidRPr="008D4FAA">
        <w:t>illustrates the architecture of the ANN</w:t>
      </w:r>
      <w:r w:rsidR="005533C8">
        <w:t>, including inputs values and predictions.</w:t>
      </w:r>
      <w:r w:rsidRPr="008D4FAA">
        <w:t xml:space="preserve"> The model includes input and output layers, enhanced by three intermediate hidden layers. In each hidden layer, a designated number of artificial neurons receive input from the preceding layer. These inputs, multiplied by their associated weights, are combined, and then processed through an activation function. The </w:t>
      </w:r>
      <w:r>
        <w:t>training of an</w:t>
      </w:r>
      <w:r w:rsidRPr="008D4FAA">
        <w:t xml:space="preserve"> ANN involves the careful adjustment of these weights,</w:t>
      </w:r>
      <w:r w:rsidR="00157418">
        <w:t xml:space="preserve"> which is</w:t>
      </w:r>
      <w:r w:rsidRPr="008D4FAA">
        <w:t xml:space="preserve"> crucial for efficiently converting system inputs into the desired outputs.</w:t>
      </w:r>
    </w:p>
    <w:p w14:paraId="05A05B44" w14:textId="217F5417" w:rsidR="005533C8" w:rsidRDefault="005533C8" w:rsidP="005533C8">
      <w:pPr>
        <w:ind w:firstLine="284"/>
        <w:rPr>
          <w:lang w:val="en-US"/>
        </w:rPr>
      </w:pPr>
      <w:r w:rsidRPr="008D4FAA">
        <w:rPr>
          <w:lang w:val="en-US"/>
        </w:rPr>
        <w:t xml:space="preserve">Prior to model training, </w:t>
      </w:r>
      <w:r>
        <w:rPr>
          <w:lang w:val="en-US"/>
        </w:rPr>
        <w:t xml:space="preserve">determining an </w:t>
      </w:r>
      <w:r w:rsidRPr="008D4FAA">
        <w:rPr>
          <w:lang w:val="en-US"/>
        </w:rPr>
        <w:t xml:space="preserve">appropriate model configuration is </w:t>
      </w:r>
      <w:r>
        <w:rPr>
          <w:lang w:val="en-US"/>
        </w:rPr>
        <w:t xml:space="preserve">essential, which includes </w:t>
      </w:r>
      <w:r w:rsidRPr="008D4FAA">
        <w:rPr>
          <w:lang w:val="en-US"/>
        </w:rPr>
        <w:t>defining hidden layer</w:t>
      </w:r>
      <w:r>
        <w:rPr>
          <w:lang w:val="en-US"/>
        </w:rPr>
        <w:t>s</w:t>
      </w:r>
      <w:r w:rsidRPr="008D4FAA">
        <w:rPr>
          <w:lang w:val="en-US"/>
        </w:rPr>
        <w:t xml:space="preserve"> parameters such as layer count, the number of neurons per layer, and </w:t>
      </w:r>
      <w:r w:rsidRPr="008D4FAA">
        <w:rPr>
          <w:lang w:val="en-US"/>
        </w:rPr>
        <w:lastRenderedPageBreak/>
        <w:t xml:space="preserve">the activation functions. The training phase further involves the selection and adjustment of various parameters, such as the choice of optimizer and the calibration of the learning rate. These decisions are </w:t>
      </w:r>
      <w:r>
        <w:rPr>
          <w:lang w:val="en-US"/>
        </w:rPr>
        <w:t xml:space="preserve">part of the </w:t>
      </w:r>
      <w:r w:rsidRPr="008D4FAA">
        <w:rPr>
          <w:lang w:val="en-US"/>
        </w:rPr>
        <w:t>hyperparameter</w:t>
      </w:r>
      <w:r>
        <w:rPr>
          <w:lang w:val="en-US"/>
        </w:rPr>
        <w:t xml:space="preserve"> tuning</w:t>
      </w:r>
      <w:r w:rsidRPr="008D4FAA">
        <w:rPr>
          <w:lang w:val="en-US"/>
        </w:rPr>
        <w:t>,</w:t>
      </w:r>
      <w:r>
        <w:rPr>
          <w:lang w:val="en-US"/>
        </w:rPr>
        <w:t xml:space="preserve"> which</w:t>
      </w:r>
      <w:r w:rsidRPr="008D4FAA">
        <w:rPr>
          <w:lang w:val="en-US"/>
        </w:rPr>
        <w:t xml:space="preserve"> critical for the model's performance.</w:t>
      </w:r>
      <w:r>
        <w:rPr>
          <w:lang w:val="en-US"/>
        </w:rPr>
        <w:t xml:space="preserve"> </w:t>
      </w:r>
      <w:r w:rsidRPr="008D4FAA">
        <w:rPr>
          <w:lang w:val="en-US"/>
        </w:rPr>
        <w:t xml:space="preserve">In this </w:t>
      </w:r>
      <w:r>
        <w:rPr>
          <w:lang w:val="en-US"/>
        </w:rPr>
        <w:t>work</w:t>
      </w:r>
      <w:r w:rsidRPr="008D4FAA">
        <w:rPr>
          <w:lang w:val="en-US"/>
        </w:rPr>
        <w:t>, the Bayesian optimization methodology was employed</w:t>
      </w:r>
      <w:r>
        <w:rPr>
          <w:lang w:val="en-US"/>
        </w:rPr>
        <w:t xml:space="preserve"> for hyp</w:t>
      </w:r>
      <w:r w:rsidR="0029380D">
        <w:rPr>
          <w:lang w:val="en-US"/>
        </w:rPr>
        <w:t>erparameter tuning</w:t>
      </w:r>
      <w:r w:rsidRPr="008D4FAA">
        <w:rPr>
          <w:lang w:val="en-US"/>
        </w:rPr>
        <w:t xml:space="preserve">, resulting in the configuration shown in </w:t>
      </w:r>
      <w:r w:rsidRPr="00BA5027">
        <w:rPr>
          <w:lang w:val="en-US"/>
        </w:rPr>
        <w:fldChar w:fldCharType="begin"/>
      </w:r>
      <w:r w:rsidRPr="00BA5027">
        <w:rPr>
          <w:lang w:val="en-US"/>
        </w:rPr>
        <w:instrText xml:space="preserve"> REF _Ref142818507 \h  \* MERGEFORMAT </w:instrText>
      </w:r>
      <w:r w:rsidRPr="00BA5027">
        <w:rPr>
          <w:lang w:val="en-US"/>
        </w:rPr>
      </w:r>
      <w:r w:rsidRPr="00BA5027">
        <w:rPr>
          <w:lang w:val="en-US"/>
        </w:rPr>
        <w:fldChar w:fldCharType="separate"/>
      </w:r>
      <w:r w:rsidR="00CB2184" w:rsidRPr="00CB2184">
        <w:rPr>
          <w:lang w:val="en-US"/>
        </w:rPr>
        <w:t>Figure 3</w:t>
      </w:r>
      <w:r w:rsidRPr="00BA5027">
        <w:rPr>
          <w:lang w:val="en-US"/>
        </w:rPr>
        <w:fldChar w:fldCharType="end"/>
      </w:r>
      <w:r>
        <w:rPr>
          <w:lang w:val="en-US"/>
        </w:rPr>
        <w:t xml:space="preserve"> (</w:t>
      </w:r>
      <w:r w:rsidRPr="008D4FAA">
        <w:rPr>
          <w:lang w:val="en-US"/>
        </w:rPr>
        <w:t xml:space="preserve">a) that employs the Stochastic Gradient Descent optimizer at a learning rate of 0.37. </w:t>
      </w:r>
      <w:r w:rsidR="0029380D">
        <w:rPr>
          <w:lang w:val="en-US"/>
        </w:rPr>
        <w:t>T</w:t>
      </w:r>
      <w:r w:rsidRPr="008D4FAA">
        <w:rPr>
          <w:lang w:val="en-US"/>
        </w:rPr>
        <w:t xml:space="preserve">he model was trained </w:t>
      </w:r>
      <w:r w:rsidR="006A4DCD">
        <w:rPr>
          <w:lang w:val="en-US"/>
        </w:rPr>
        <w:t>on</w:t>
      </w:r>
      <w:r w:rsidRPr="008D4FAA">
        <w:rPr>
          <w:lang w:val="en-US"/>
        </w:rPr>
        <w:t xml:space="preserve"> 80% of the dataset, </w:t>
      </w:r>
      <w:r w:rsidR="006A4DCD">
        <w:rPr>
          <w:lang w:val="en-US"/>
        </w:rPr>
        <w:t xml:space="preserve">with the </w:t>
      </w:r>
      <w:r w:rsidRPr="008D4FAA">
        <w:rPr>
          <w:lang w:val="en-US"/>
        </w:rPr>
        <w:t>remaining 20%</w:t>
      </w:r>
      <w:r w:rsidR="006A4DCD">
        <w:rPr>
          <w:lang w:val="en-US"/>
        </w:rPr>
        <w:t xml:space="preserve"> reserved</w:t>
      </w:r>
      <w:r w:rsidRPr="008D4FAA">
        <w:rPr>
          <w:lang w:val="en-US"/>
        </w:rPr>
        <w:t xml:space="preserve"> for model validation. This reserved subset, commonly referred to as the test set in machine learning, remained untouched during training, thus facilitating an objective assessment of the model's validity.</w:t>
      </w:r>
    </w:p>
    <w:p w14:paraId="29B426B8" w14:textId="3CC13872" w:rsidR="005533C8" w:rsidRPr="005533C8" w:rsidRDefault="005533C8" w:rsidP="005533C8">
      <w:pPr>
        <w:ind w:firstLine="284"/>
        <w:rPr>
          <w:lang w:val="en-US"/>
        </w:rPr>
      </w:pPr>
    </w:p>
    <w:tbl>
      <w:tblPr>
        <w:tblStyle w:val="TableGrid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6274"/>
        <w:gridCol w:w="2797"/>
      </w:tblGrid>
      <w:tr w:rsidR="0015636D" w:rsidRPr="00BA5027" w14:paraId="224DBA38" w14:textId="77777777" w:rsidTr="00F13304">
        <w:trPr>
          <w:jc w:val="center"/>
        </w:trPr>
        <w:tc>
          <w:tcPr>
            <w:tcW w:w="5988" w:type="dxa"/>
            <w:hideMark/>
          </w:tcPr>
          <w:p w14:paraId="0767973D" w14:textId="77777777" w:rsidR="008B073A" w:rsidRPr="00BA5027" w:rsidRDefault="008B073A" w:rsidP="00394A35">
            <w:pPr>
              <w:rPr>
                <w:rFonts w:ascii="Calibri" w:hAnsi="Calibri"/>
                <w:lang w:val="en-US"/>
              </w:rPr>
            </w:pPr>
            <w:r w:rsidRPr="00BA5027">
              <w:rPr>
                <w:rFonts w:ascii="Calibri" w:hAnsi="Calibri"/>
                <w:noProof/>
                <w:sz w:val="24"/>
                <w:szCs w:val="24"/>
                <w:lang w:val="en-US"/>
                <w14:ligatures w14:val="standardContextual"/>
              </w:rPr>
              <w:drawing>
                <wp:inline distT="0" distB="0" distL="0" distR="0" wp14:anchorId="419D2F6F" wp14:editId="5F52F9AD">
                  <wp:extent cx="4015779" cy="19716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017904" cy="1972718"/>
                          </a:xfrm>
                          <a:prstGeom prst="rect">
                            <a:avLst/>
                          </a:prstGeom>
                          <a:noFill/>
                          <a:ln>
                            <a:noFill/>
                          </a:ln>
                        </pic:spPr>
                      </pic:pic>
                    </a:graphicData>
                  </a:graphic>
                </wp:inline>
              </w:drawing>
            </w:r>
          </w:p>
        </w:tc>
        <w:tc>
          <w:tcPr>
            <w:tcW w:w="3083" w:type="dxa"/>
            <w:hideMark/>
          </w:tcPr>
          <w:p w14:paraId="2C21A899" w14:textId="7C72DCC9" w:rsidR="008B073A" w:rsidRPr="00BA5027" w:rsidRDefault="008B073A" w:rsidP="00394A35">
            <w:pPr>
              <w:rPr>
                <w:rFonts w:ascii="Calibri" w:hAnsi="Calibri"/>
                <w:lang w:val="en-US"/>
              </w:rPr>
            </w:pPr>
            <w:r w:rsidRPr="00BA5027">
              <w:rPr>
                <w:rFonts w:ascii="Calibri" w:hAnsi="Calibri"/>
                <w:noProof/>
                <w:sz w:val="24"/>
                <w:szCs w:val="24"/>
                <w:lang w:val="en-US"/>
                <w14:ligatures w14:val="standardContextual"/>
              </w:rPr>
              <w:drawing>
                <wp:inline distT="0" distB="0" distL="0" distR="0" wp14:anchorId="742908A1" wp14:editId="4E84C8DB">
                  <wp:extent cx="1790700" cy="1550484"/>
                  <wp:effectExtent l="0" t="0" r="0"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794199" cy="1553514"/>
                          </a:xfrm>
                          <a:prstGeom prst="rect">
                            <a:avLst/>
                          </a:prstGeom>
                          <a:noFill/>
                          <a:ln>
                            <a:noFill/>
                          </a:ln>
                        </pic:spPr>
                      </pic:pic>
                    </a:graphicData>
                  </a:graphic>
                </wp:inline>
              </w:drawing>
            </w:r>
          </w:p>
        </w:tc>
      </w:tr>
      <w:tr w:rsidR="0015636D" w:rsidRPr="00BA5027" w14:paraId="2C65FF54" w14:textId="77777777" w:rsidTr="00F13304">
        <w:trPr>
          <w:jc w:val="center"/>
        </w:trPr>
        <w:tc>
          <w:tcPr>
            <w:tcW w:w="5988" w:type="dxa"/>
            <w:hideMark/>
          </w:tcPr>
          <w:p w14:paraId="1AEDB882" w14:textId="77777777" w:rsidR="008B073A" w:rsidRPr="00BA5027" w:rsidRDefault="008B073A" w:rsidP="00394A35">
            <w:pPr>
              <w:jc w:val="center"/>
              <w:rPr>
                <w:rFonts w:ascii="Times New Roman" w:hAnsi="Times New Roman"/>
                <w:sz w:val="24"/>
                <w:szCs w:val="24"/>
                <w:lang w:val="en-US"/>
              </w:rPr>
            </w:pPr>
            <w:r w:rsidRPr="00BA5027">
              <w:rPr>
                <w:rFonts w:ascii="Times New Roman" w:hAnsi="Times New Roman"/>
                <w:sz w:val="24"/>
                <w:szCs w:val="24"/>
                <w:lang w:val="en-US"/>
              </w:rPr>
              <w:t>(a)</w:t>
            </w:r>
          </w:p>
        </w:tc>
        <w:tc>
          <w:tcPr>
            <w:tcW w:w="3083" w:type="dxa"/>
            <w:hideMark/>
          </w:tcPr>
          <w:p w14:paraId="2CCC159D" w14:textId="77777777" w:rsidR="008B073A" w:rsidRPr="00BA5027" w:rsidRDefault="008B073A" w:rsidP="00394A35">
            <w:pPr>
              <w:keepNext/>
              <w:jc w:val="center"/>
              <w:rPr>
                <w:rFonts w:ascii="Times New Roman" w:hAnsi="Times New Roman"/>
                <w:noProof/>
                <w:sz w:val="24"/>
                <w:szCs w:val="24"/>
                <w:lang w:val="en-US"/>
              </w:rPr>
            </w:pPr>
            <w:r w:rsidRPr="00BA5027">
              <w:rPr>
                <w:rFonts w:ascii="Times New Roman" w:hAnsi="Times New Roman"/>
                <w:noProof/>
                <w:sz w:val="24"/>
                <w:szCs w:val="24"/>
                <w:lang w:val="en-US"/>
              </w:rPr>
              <w:t>(b)</w:t>
            </w:r>
          </w:p>
        </w:tc>
      </w:tr>
      <w:tr w:rsidR="00F13304" w:rsidRPr="00BA5027" w14:paraId="3EC3B674" w14:textId="77777777" w:rsidTr="00FF2A9C">
        <w:trPr>
          <w:jc w:val="center"/>
        </w:trPr>
        <w:tc>
          <w:tcPr>
            <w:tcW w:w="9071" w:type="dxa"/>
            <w:gridSpan w:val="2"/>
          </w:tcPr>
          <w:p w14:paraId="768A9D5B" w14:textId="1C8AAADD" w:rsidR="00F13304" w:rsidRPr="00F13304" w:rsidRDefault="00F13304" w:rsidP="00F13304">
            <w:pPr>
              <w:pStyle w:val="FigureCaption"/>
              <w:spacing w:before="120"/>
              <w:rPr>
                <w:rFonts w:ascii="Times New Roman" w:hAnsi="Times New Roman"/>
                <w:b/>
                <w:lang w:val="en-US" w:eastAsia="en-GB"/>
              </w:rPr>
            </w:pPr>
            <w:bookmarkStart w:id="2" w:name="_Ref142818507"/>
            <w:r w:rsidRPr="00F13304">
              <w:rPr>
                <w:rFonts w:ascii="Times New Roman" w:hAnsi="Times New Roman"/>
                <w:b/>
                <w:lang w:val="en-US" w:eastAsia="en-GB"/>
              </w:rPr>
              <w:t xml:space="preserve">Figure </w:t>
            </w:r>
            <w:r w:rsidRPr="00DE218A">
              <w:rPr>
                <w:rFonts w:ascii="Times New Roman" w:hAnsi="Times New Roman"/>
                <w:b/>
                <w:lang w:eastAsia="en-GB"/>
              </w:rPr>
              <w:fldChar w:fldCharType="begin"/>
            </w:r>
            <w:r w:rsidRPr="00F13304">
              <w:rPr>
                <w:rFonts w:ascii="Times New Roman" w:hAnsi="Times New Roman"/>
                <w:b/>
                <w:lang w:val="en-US" w:eastAsia="en-GB"/>
              </w:rPr>
              <w:instrText xml:space="preserve"> SEQ Figure \* ARABIC </w:instrText>
            </w:r>
            <w:r w:rsidRPr="00DE218A">
              <w:rPr>
                <w:rFonts w:ascii="Times New Roman" w:hAnsi="Times New Roman"/>
                <w:b/>
                <w:lang w:eastAsia="en-GB"/>
              </w:rPr>
              <w:fldChar w:fldCharType="separate"/>
            </w:r>
            <w:r w:rsidR="00CB2184">
              <w:rPr>
                <w:rFonts w:ascii="Times New Roman" w:hAnsi="Times New Roman"/>
                <w:b/>
                <w:noProof/>
                <w:lang w:val="en-US" w:eastAsia="en-GB"/>
              </w:rPr>
              <w:t>3</w:t>
            </w:r>
            <w:r w:rsidRPr="00DE218A">
              <w:rPr>
                <w:rFonts w:ascii="Times New Roman" w:hAnsi="Times New Roman"/>
                <w:b/>
                <w:lang w:eastAsia="en-GB"/>
              </w:rPr>
              <w:fldChar w:fldCharType="end"/>
            </w:r>
            <w:bookmarkEnd w:id="2"/>
            <w:r w:rsidRPr="00F13304">
              <w:rPr>
                <w:rFonts w:ascii="Times New Roman" w:hAnsi="Times New Roman"/>
                <w:b/>
                <w:lang w:val="en-US" w:eastAsia="en-GB"/>
              </w:rPr>
              <w:t>.</w:t>
            </w:r>
            <w:r w:rsidRPr="00F13304">
              <w:rPr>
                <w:rFonts w:ascii="Times New Roman" w:hAnsi="Times New Roman"/>
                <w:bCs/>
                <w:lang w:val="en-US" w:eastAsia="en-GB"/>
              </w:rPr>
              <w:t xml:space="preserve"> (a) </w:t>
            </w:r>
            <w:r w:rsidR="00AC2FB1">
              <w:rPr>
                <w:rFonts w:ascii="Times New Roman" w:hAnsi="Times New Roman"/>
                <w:bCs/>
                <w:lang w:val="en-US" w:eastAsia="en-GB"/>
              </w:rPr>
              <w:t>ANN setup</w:t>
            </w:r>
            <w:r w:rsidRPr="00F13304">
              <w:rPr>
                <w:rFonts w:ascii="Times New Roman" w:hAnsi="Times New Roman"/>
                <w:bCs/>
                <w:lang w:val="en-US" w:eastAsia="en-GB"/>
              </w:rPr>
              <w:t>, (b) artificial neuron with inputs, weights, activation function, and output.</w:t>
            </w:r>
          </w:p>
        </w:tc>
      </w:tr>
    </w:tbl>
    <w:p w14:paraId="3F084A3E" w14:textId="38154CEE" w:rsidR="00500048" w:rsidRDefault="00821F56" w:rsidP="00574960">
      <w:pPr>
        <w:pStyle w:val="Section"/>
        <w:rPr>
          <w:rFonts w:ascii="Times New Roman" w:hAnsi="Times New Roman"/>
        </w:rPr>
      </w:pPr>
      <w:r>
        <w:rPr>
          <w:rFonts w:ascii="Times New Roman" w:hAnsi="Times New Roman"/>
        </w:rPr>
        <w:t>Results</w:t>
      </w:r>
    </w:p>
    <w:p w14:paraId="621A9E92" w14:textId="373241DA" w:rsidR="00AF4AAC" w:rsidRDefault="009813CE" w:rsidP="00EF379B">
      <w:pPr>
        <w:rPr>
          <w:lang w:val="en-US"/>
        </w:rPr>
      </w:pPr>
      <w:r w:rsidRPr="00BA5027">
        <w:rPr>
          <w:lang w:val="en-US"/>
        </w:rPr>
        <w:fldChar w:fldCharType="begin"/>
      </w:r>
      <w:r w:rsidRPr="00BA5027">
        <w:rPr>
          <w:lang w:val="en-US"/>
        </w:rPr>
        <w:instrText xml:space="preserve"> REF _Ref142856350 \h  \* MERGEFORMAT </w:instrText>
      </w:r>
      <w:r w:rsidRPr="00BA5027">
        <w:rPr>
          <w:lang w:val="en-US"/>
        </w:rPr>
      </w:r>
      <w:r w:rsidRPr="00BA5027">
        <w:rPr>
          <w:lang w:val="en-US"/>
        </w:rPr>
        <w:fldChar w:fldCharType="separate"/>
      </w:r>
      <w:r w:rsidR="00CB2184" w:rsidRPr="00CB2184">
        <w:rPr>
          <w:lang w:val="en-US"/>
        </w:rPr>
        <w:t>Table 1</w:t>
      </w:r>
      <w:r w:rsidRPr="00BA5027">
        <w:rPr>
          <w:lang w:val="en-US"/>
        </w:rPr>
        <w:fldChar w:fldCharType="end"/>
      </w:r>
      <w:r w:rsidRPr="00BA5027">
        <w:rPr>
          <w:lang w:val="en-US"/>
        </w:rPr>
        <w:t xml:space="preserve"> presents the error metrics for the test set. The table includes the maximum error, mean absolute error (MAE), root mean square error (RMSE), and mean absolute percentage error (MAPE) associated with the model’s predictions across the dataset.</w:t>
      </w:r>
    </w:p>
    <w:p w14:paraId="4278599E" w14:textId="77777777" w:rsidR="00E95D92" w:rsidRPr="00EF379B" w:rsidRDefault="00E95D92" w:rsidP="00EF379B">
      <w:pPr>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240"/>
        <w:gridCol w:w="1241"/>
        <w:gridCol w:w="1240"/>
        <w:gridCol w:w="1241"/>
      </w:tblGrid>
      <w:tr w:rsidR="00EF379B" w:rsidRPr="00BA5027" w14:paraId="56129571" w14:textId="77777777" w:rsidTr="008F1188">
        <w:trPr>
          <w:trHeight w:val="436"/>
          <w:jc w:val="center"/>
        </w:trPr>
        <w:tc>
          <w:tcPr>
            <w:tcW w:w="6658" w:type="dxa"/>
            <w:gridSpan w:val="5"/>
            <w:tcBorders>
              <w:bottom w:val="single" w:sz="4" w:space="0" w:color="auto"/>
            </w:tcBorders>
            <w:vAlign w:val="center"/>
          </w:tcPr>
          <w:p w14:paraId="113C6C47" w14:textId="2D8AA0A8" w:rsidR="00EF379B" w:rsidRDefault="00EF379B" w:rsidP="00EF379B">
            <w:pPr>
              <w:spacing w:after="160" w:line="259" w:lineRule="auto"/>
              <w:jc w:val="center"/>
              <w:rPr>
                <w:lang w:val="en-US"/>
              </w:rPr>
            </w:pPr>
            <w:bookmarkStart w:id="3" w:name="_Ref142856350"/>
            <w:r w:rsidRPr="00DC1F43">
              <w:rPr>
                <w:rFonts w:ascii="Times New Roman" w:hAnsi="Times New Roman"/>
                <w:b/>
                <w:lang w:eastAsia="en-GB"/>
              </w:rPr>
              <w:t xml:space="preserve">Table </w:t>
            </w:r>
            <w:r w:rsidRPr="00DC1F43">
              <w:rPr>
                <w:rFonts w:ascii="Times New Roman" w:hAnsi="Times New Roman"/>
                <w:b/>
                <w:lang w:eastAsia="en-GB"/>
              </w:rPr>
              <w:fldChar w:fldCharType="begin"/>
            </w:r>
            <w:r w:rsidRPr="00DC1F43">
              <w:rPr>
                <w:rFonts w:ascii="Times New Roman" w:hAnsi="Times New Roman"/>
                <w:b/>
                <w:lang w:eastAsia="en-GB"/>
              </w:rPr>
              <w:instrText xml:space="preserve"> SEQ Table \* ARABIC </w:instrText>
            </w:r>
            <w:r w:rsidRPr="00DC1F43">
              <w:rPr>
                <w:rFonts w:ascii="Times New Roman" w:hAnsi="Times New Roman"/>
                <w:b/>
                <w:lang w:eastAsia="en-GB"/>
              </w:rPr>
              <w:fldChar w:fldCharType="separate"/>
            </w:r>
            <w:r w:rsidR="00CB2184">
              <w:rPr>
                <w:rFonts w:ascii="Times New Roman" w:hAnsi="Times New Roman"/>
                <w:b/>
                <w:noProof/>
                <w:lang w:eastAsia="en-GB"/>
              </w:rPr>
              <w:t>1</w:t>
            </w:r>
            <w:r w:rsidRPr="00DC1F43">
              <w:rPr>
                <w:rFonts w:ascii="Times New Roman" w:hAnsi="Times New Roman"/>
                <w:b/>
                <w:lang w:eastAsia="en-GB"/>
              </w:rPr>
              <w:fldChar w:fldCharType="end"/>
            </w:r>
            <w:bookmarkEnd w:id="3"/>
            <w:r>
              <w:rPr>
                <w:rFonts w:ascii="Times New Roman" w:hAnsi="Times New Roman"/>
                <w:b/>
                <w:lang w:eastAsia="en-GB"/>
              </w:rPr>
              <w:t>.</w:t>
            </w:r>
            <w:r w:rsidRPr="00DC1F43">
              <w:rPr>
                <w:rFonts w:ascii="Times New Roman" w:hAnsi="Times New Roman"/>
                <w:b/>
                <w:lang w:eastAsia="en-GB"/>
              </w:rPr>
              <w:t xml:space="preserve"> </w:t>
            </w:r>
            <w:r w:rsidRPr="00DC1F43">
              <w:rPr>
                <w:rFonts w:ascii="Times New Roman" w:hAnsi="Times New Roman"/>
                <w:bCs/>
                <w:lang w:eastAsia="en-GB"/>
              </w:rPr>
              <w:t>Evaluation of model error over the unseen data in the test set</w:t>
            </w:r>
            <w:r>
              <w:rPr>
                <w:rFonts w:ascii="Times New Roman" w:hAnsi="Times New Roman"/>
                <w:bCs/>
                <w:lang w:eastAsia="en-GB"/>
              </w:rPr>
              <w:t>.</w:t>
            </w:r>
          </w:p>
        </w:tc>
      </w:tr>
      <w:tr w:rsidR="00DC1F43" w:rsidRPr="00BA5027" w14:paraId="08EC252E" w14:textId="77777777" w:rsidTr="00EF379B">
        <w:trPr>
          <w:trHeight w:val="228"/>
          <w:jc w:val="center"/>
        </w:trPr>
        <w:tc>
          <w:tcPr>
            <w:tcW w:w="1696" w:type="dxa"/>
            <w:tcBorders>
              <w:top w:val="single" w:sz="4" w:space="0" w:color="auto"/>
            </w:tcBorders>
            <w:vAlign w:val="center"/>
          </w:tcPr>
          <w:p w14:paraId="2E13DD13" w14:textId="77777777" w:rsidR="00DC1F43" w:rsidRDefault="00DC1F43" w:rsidP="00394A35">
            <w:pPr>
              <w:spacing w:after="160" w:line="259" w:lineRule="auto"/>
              <w:jc w:val="center"/>
              <w:rPr>
                <w:lang w:val="en-US"/>
              </w:rPr>
            </w:pPr>
          </w:p>
        </w:tc>
        <w:tc>
          <w:tcPr>
            <w:tcW w:w="1240" w:type="dxa"/>
            <w:tcBorders>
              <w:top w:val="single" w:sz="4" w:space="0" w:color="auto"/>
              <w:bottom w:val="single" w:sz="4" w:space="0" w:color="auto"/>
            </w:tcBorders>
            <w:vAlign w:val="center"/>
          </w:tcPr>
          <w:p w14:paraId="4B14E616" w14:textId="755535C3" w:rsidR="00DC1F43" w:rsidRPr="00BA5027" w:rsidRDefault="00DC1F43" w:rsidP="00394A35">
            <w:pPr>
              <w:spacing w:after="160" w:line="259" w:lineRule="auto"/>
              <w:rPr>
                <w:lang w:val="en-US"/>
              </w:rPr>
            </w:pPr>
            <w:r>
              <w:rPr>
                <w:lang w:val="en-US"/>
              </w:rPr>
              <w:t>Max Error</w:t>
            </w:r>
          </w:p>
        </w:tc>
        <w:tc>
          <w:tcPr>
            <w:tcW w:w="1241" w:type="dxa"/>
            <w:tcBorders>
              <w:top w:val="single" w:sz="4" w:space="0" w:color="auto"/>
              <w:bottom w:val="single" w:sz="4" w:space="0" w:color="auto"/>
            </w:tcBorders>
            <w:vAlign w:val="center"/>
          </w:tcPr>
          <w:p w14:paraId="7BCBBF11" w14:textId="22D93B42" w:rsidR="00DC1F43" w:rsidRPr="00BA5027" w:rsidRDefault="00DC1F43" w:rsidP="00394A35">
            <w:pPr>
              <w:spacing w:after="160" w:line="259" w:lineRule="auto"/>
              <w:rPr>
                <w:lang w:val="en-US"/>
              </w:rPr>
            </w:pPr>
            <w:r>
              <w:rPr>
                <w:lang w:val="en-US"/>
              </w:rPr>
              <w:t>MAE</w:t>
            </w:r>
          </w:p>
        </w:tc>
        <w:tc>
          <w:tcPr>
            <w:tcW w:w="1240" w:type="dxa"/>
            <w:tcBorders>
              <w:top w:val="single" w:sz="4" w:space="0" w:color="auto"/>
              <w:bottom w:val="single" w:sz="4" w:space="0" w:color="auto"/>
            </w:tcBorders>
            <w:vAlign w:val="center"/>
          </w:tcPr>
          <w:p w14:paraId="526DF0A7" w14:textId="17AD63E7" w:rsidR="00DC1F43" w:rsidRPr="00BA5027" w:rsidRDefault="00DC1F43" w:rsidP="00394A35">
            <w:pPr>
              <w:spacing w:after="160" w:line="259" w:lineRule="auto"/>
              <w:rPr>
                <w:lang w:val="en-US"/>
              </w:rPr>
            </w:pPr>
            <w:r>
              <w:rPr>
                <w:lang w:val="en-US"/>
              </w:rPr>
              <w:t>RSME</w:t>
            </w:r>
          </w:p>
        </w:tc>
        <w:tc>
          <w:tcPr>
            <w:tcW w:w="1241" w:type="dxa"/>
            <w:tcBorders>
              <w:top w:val="single" w:sz="4" w:space="0" w:color="auto"/>
              <w:bottom w:val="single" w:sz="4" w:space="0" w:color="auto"/>
            </w:tcBorders>
            <w:vAlign w:val="center"/>
          </w:tcPr>
          <w:p w14:paraId="5EB60BB6" w14:textId="62887AF9" w:rsidR="00DC1F43" w:rsidRPr="00BA5027" w:rsidRDefault="00DC1F43" w:rsidP="00394A35">
            <w:pPr>
              <w:spacing w:after="160" w:line="259" w:lineRule="auto"/>
              <w:rPr>
                <w:lang w:val="en-US"/>
              </w:rPr>
            </w:pPr>
            <w:r>
              <w:rPr>
                <w:lang w:val="en-US"/>
              </w:rPr>
              <w:t>MAPE [%]</w:t>
            </w:r>
          </w:p>
        </w:tc>
      </w:tr>
      <w:tr w:rsidR="009813CE" w:rsidRPr="00BA5027" w14:paraId="33876831" w14:textId="77777777" w:rsidTr="00DE218A">
        <w:trPr>
          <w:jc w:val="center"/>
        </w:trPr>
        <w:tc>
          <w:tcPr>
            <w:tcW w:w="1696" w:type="dxa"/>
            <w:vAlign w:val="center"/>
          </w:tcPr>
          <w:p w14:paraId="2CF215D0" w14:textId="77777777" w:rsidR="009813CE" w:rsidRPr="00BA5027" w:rsidRDefault="00E10DAD" w:rsidP="00394A35">
            <w:pPr>
              <w:spacing w:after="160" w:line="259" w:lineRule="auto"/>
              <w:rPr>
                <w:lang w:val="en-US"/>
              </w:rPr>
            </w:pP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out</m:t>
                  </m:r>
                  <m:r>
                    <m:rPr>
                      <m:sty m:val="p"/>
                    </m:rPr>
                    <w:rPr>
                      <w:rFonts w:ascii="Cambria Math" w:hAnsi="Cambria Math"/>
                      <w:lang w:val="en-US"/>
                    </w:rPr>
                    <m:t xml:space="preserve">, </m:t>
                  </m:r>
                  <m:r>
                    <w:rPr>
                      <w:rFonts w:ascii="Cambria Math" w:hAnsi="Cambria Math"/>
                      <w:lang w:val="en-US"/>
                    </w:rPr>
                    <m:t>GC</m:t>
                  </m:r>
                  <m:r>
                    <m:rPr>
                      <m:sty m:val="p"/>
                    </m:rPr>
                    <w:rPr>
                      <w:rFonts w:ascii="Cambria Math" w:hAnsi="Cambria Math"/>
                      <w:lang w:val="en-US"/>
                    </w:rPr>
                    <m:t>-</m:t>
                  </m:r>
                  <m:r>
                    <w:rPr>
                      <w:rFonts w:ascii="Cambria Math" w:hAnsi="Cambria Math"/>
                      <w:lang w:val="en-US"/>
                    </w:rPr>
                    <m:t>HT</m:t>
                  </m:r>
                </m:sub>
              </m:sSub>
            </m:oMath>
            <w:r w:rsidR="009813CE">
              <w:rPr>
                <w:lang w:val="en-US"/>
              </w:rPr>
              <w:t xml:space="preserve"> [°C]</w:t>
            </w:r>
          </w:p>
        </w:tc>
        <w:tc>
          <w:tcPr>
            <w:tcW w:w="1240" w:type="dxa"/>
            <w:tcBorders>
              <w:top w:val="single" w:sz="4" w:space="0" w:color="auto"/>
            </w:tcBorders>
          </w:tcPr>
          <w:p w14:paraId="5E3B9671" w14:textId="77777777" w:rsidR="009813CE" w:rsidRPr="00BA5027" w:rsidRDefault="009813CE" w:rsidP="00394A35">
            <w:pPr>
              <w:spacing w:after="160" w:line="259" w:lineRule="auto"/>
              <w:rPr>
                <w:lang w:val="en-US"/>
              </w:rPr>
            </w:pPr>
            <w:r w:rsidRPr="00237BD6">
              <w:t xml:space="preserve"> 7.18 </w:t>
            </w:r>
          </w:p>
        </w:tc>
        <w:tc>
          <w:tcPr>
            <w:tcW w:w="1241" w:type="dxa"/>
            <w:tcBorders>
              <w:top w:val="single" w:sz="4" w:space="0" w:color="auto"/>
            </w:tcBorders>
          </w:tcPr>
          <w:p w14:paraId="2F074AA3" w14:textId="77777777" w:rsidR="009813CE" w:rsidRPr="00BA5027" w:rsidRDefault="009813CE" w:rsidP="00394A35">
            <w:pPr>
              <w:spacing w:after="160" w:line="259" w:lineRule="auto"/>
              <w:rPr>
                <w:lang w:val="en-US"/>
              </w:rPr>
            </w:pPr>
            <w:r w:rsidRPr="00237BD6">
              <w:t xml:space="preserve"> 0.11 </w:t>
            </w:r>
          </w:p>
        </w:tc>
        <w:tc>
          <w:tcPr>
            <w:tcW w:w="1240" w:type="dxa"/>
            <w:tcBorders>
              <w:top w:val="single" w:sz="4" w:space="0" w:color="auto"/>
            </w:tcBorders>
          </w:tcPr>
          <w:p w14:paraId="45C72409" w14:textId="77777777" w:rsidR="009813CE" w:rsidRPr="00BA5027" w:rsidRDefault="009813CE" w:rsidP="00394A35">
            <w:pPr>
              <w:spacing w:after="160" w:line="259" w:lineRule="auto"/>
              <w:rPr>
                <w:lang w:val="en-US"/>
              </w:rPr>
            </w:pPr>
            <w:r w:rsidRPr="00237BD6">
              <w:t xml:space="preserve"> 0.21 </w:t>
            </w:r>
          </w:p>
        </w:tc>
        <w:tc>
          <w:tcPr>
            <w:tcW w:w="1241" w:type="dxa"/>
            <w:tcBorders>
              <w:top w:val="single" w:sz="4" w:space="0" w:color="auto"/>
            </w:tcBorders>
          </w:tcPr>
          <w:p w14:paraId="03BE386D" w14:textId="77777777" w:rsidR="009813CE" w:rsidRPr="00BA5027" w:rsidRDefault="009813CE" w:rsidP="00394A35">
            <w:pPr>
              <w:spacing w:after="160" w:line="259" w:lineRule="auto"/>
              <w:rPr>
                <w:lang w:val="en-US"/>
              </w:rPr>
            </w:pPr>
            <w:r w:rsidRPr="009D33D1">
              <w:t>0.2 %</w:t>
            </w:r>
          </w:p>
        </w:tc>
      </w:tr>
      <w:tr w:rsidR="009813CE" w:rsidRPr="00BA5027" w14:paraId="60C3ABAA" w14:textId="77777777" w:rsidTr="00DC1F43">
        <w:trPr>
          <w:jc w:val="center"/>
        </w:trPr>
        <w:tc>
          <w:tcPr>
            <w:tcW w:w="1696" w:type="dxa"/>
            <w:vAlign w:val="center"/>
          </w:tcPr>
          <w:p w14:paraId="6CB4FB49" w14:textId="77777777" w:rsidR="009813CE" w:rsidRPr="00BA5027" w:rsidRDefault="00E10DAD" w:rsidP="00394A35">
            <w:pPr>
              <w:spacing w:after="160" w:line="259" w:lineRule="auto"/>
              <w:rPr>
                <w:lang w:val="en-US"/>
              </w:rPr>
            </w:pP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out</m:t>
                  </m:r>
                  <m:r>
                    <m:rPr>
                      <m:sty m:val="p"/>
                    </m:rPr>
                    <w:rPr>
                      <w:rFonts w:ascii="Cambria Math" w:hAnsi="Cambria Math"/>
                      <w:lang w:val="en-US"/>
                    </w:rPr>
                    <m:t xml:space="preserve">, </m:t>
                  </m:r>
                  <m:r>
                    <w:rPr>
                      <w:rFonts w:ascii="Cambria Math" w:hAnsi="Cambria Math"/>
                      <w:lang w:val="en-US"/>
                    </w:rPr>
                    <m:t>GC</m:t>
                  </m:r>
                  <m:r>
                    <m:rPr>
                      <m:sty m:val="p"/>
                    </m:rPr>
                    <w:rPr>
                      <w:rFonts w:ascii="Cambria Math" w:hAnsi="Cambria Math"/>
                      <w:lang w:val="en-US"/>
                    </w:rPr>
                    <m:t>-</m:t>
                  </m:r>
                  <m:r>
                    <w:rPr>
                      <w:rFonts w:ascii="Cambria Math" w:hAnsi="Cambria Math"/>
                      <w:lang w:val="en-US"/>
                    </w:rPr>
                    <m:t>LT</m:t>
                  </m:r>
                </m:sub>
              </m:sSub>
            </m:oMath>
            <w:r w:rsidR="009813CE">
              <w:rPr>
                <w:lang w:val="en-US"/>
              </w:rPr>
              <w:t xml:space="preserve"> [°C]</w:t>
            </w:r>
          </w:p>
        </w:tc>
        <w:tc>
          <w:tcPr>
            <w:tcW w:w="1240" w:type="dxa"/>
          </w:tcPr>
          <w:p w14:paraId="76191767" w14:textId="77777777" w:rsidR="009813CE" w:rsidRPr="00BA5027" w:rsidRDefault="009813CE" w:rsidP="00394A35">
            <w:pPr>
              <w:spacing w:after="160" w:line="259" w:lineRule="auto"/>
              <w:rPr>
                <w:lang w:val="en-US"/>
              </w:rPr>
            </w:pPr>
            <w:r w:rsidRPr="00237BD6">
              <w:t xml:space="preserve"> 4.43 </w:t>
            </w:r>
          </w:p>
        </w:tc>
        <w:tc>
          <w:tcPr>
            <w:tcW w:w="1241" w:type="dxa"/>
          </w:tcPr>
          <w:p w14:paraId="3BA3BC3C" w14:textId="77777777" w:rsidR="009813CE" w:rsidRPr="00BA5027" w:rsidRDefault="009813CE" w:rsidP="00394A35">
            <w:pPr>
              <w:spacing w:after="160" w:line="259" w:lineRule="auto"/>
              <w:rPr>
                <w:lang w:val="en-US"/>
              </w:rPr>
            </w:pPr>
            <w:r w:rsidRPr="00237BD6">
              <w:t xml:space="preserve"> 0.10 </w:t>
            </w:r>
          </w:p>
        </w:tc>
        <w:tc>
          <w:tcPr>
            <w:tcW w:w="1240" w:type="dxa"/>
          </w:tcPr>
          <w:p w14:paraId="13792058" w14:textId="77777777" w:rsidR="009813CE" w:rsidRPr="00BA5027" w:rsidRDefault="009813CE" w:rsidP="00394A35">
            <w:pPr>
              <w:spacing w:after="160" w:line="259" w:lineRule="auto"/>
              <w:rPr>
                <w:lang w:val="en-US"/>
              </w:rPr>
            </w:pPr>
            <w:r w:rsidRPr="00237BD6">
              <w:t xml:space="preserve"> 0.17 </w:t>
            </w:r>
          </w:p>
        </w:tc>
        <w:tc>
          <w:tcPr>
            <w:tcW w:w="1241" w:type="dxa"/>
          </w:tcPr>
          <w:p w14:paraId="28DA7B94" w14:textId="77777777" w:rsidR="009813CE" w:rsidRPr="00BA5027" w:rsidRDefault="009813CE" w:rsidP="00394A35">
            <w:pPr>
              <w:spacing w:after="160" w:line="259" w:lineRule="auto"/>
              <w:rPr>
                <w:lang w:val="en-US"/>
              </w:rPr>
            </w:pPr>
            <w:r w:rsidRPr="009D33D1">
              <w:t>0.3 %</w:t>
            </w:r>
          </w:p>
        </w:tc>
      </w:tr>
      <w:tr w:rsidR="009813CE" w:rsidRPr="00BA5027" w14:paraId="53FF36D5" w14:textId="77777777" w:rsidTr="00DC1F43">
        <w:trPr>
          <w:jc w:val="center"/>
        </w:trPr>
        <w:tc>
          <w:tcPr>
            <w:tcW w:w="1696" w:type="dxa"/>
            <w:vAlign w:val="center"/>
          </w:tcPr>
          <w:p w14:paraId="4D9D7CDD" w14:textId="77777777" w:rsidR="009813CE" w:rsidRPr="00BA5027" w:rsidRDefault="00E10DAD" w:rsidP="00394A35">
            <w:pPr>
              <w:spacing w:after="160" w:line="259" w:lineRule="auto"/>
              <w:rPr>
                <w:lang w:val="en-US"/>
              </w:rPr>
            </w:pP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out</m:t>
                  </m:r>
                  <m:r>
                    <m:rPr>
                      <m:sty m:val="p"/>
                    </m:rPr>
                    <w:rPr>
                      <w:rFonts w:ascii="Cambria Math" w:hAnsi="Cambria Math"/>
                      <w:lang w:val="en-US"/>
                    </w:rPr>
                    <m:t xml:space="preserve">, </m:t>
                  </m:r>
                  <m:r>
                    <w:rPr>
                      <w:rFonts w:ascii="Cambria Math" w:hAnsi="Cambria Math"/>
                      <w:lang w:val="en-US"/>
                    </w:rPr>
                    <m:t>EVP</m:t>
                  </m:r>
                </m:sub>
              </m:sSub>
            </m:oMath>
            <w:r w:rsidR="009813CE">
              <w:rPr>
                <w:lang w:val="en-US"/>
              </w:rPr>
              <w:t xml:space="preserve"> [°C]</w:t>
            </w:r>
          </w:p>
        </w:tc>
        <w:tc>
          <w:tcPr>
            <w:tcW w:w="1240" w:type="dxa"/>
          </w:tcPr>
          <w:p w14:paraId="2DCBF78A" w14:textId="77777777" w:rsidR="009813CE" w:rsidRPr="00BA5027" w:rsidRDefault="009813CE" w:rsidP="00394A35">
            <w:pPr>
              <w:spacing w:after="160" w:line="259" w:lineRule="auto"/>
              <w:rPr>
                <w:lang w:val="en-US"/>
              </w:rPr>
            </w:pPr>
            <w:r w:rsidRPr="00237BD6">
              <w:t xml:space="preserve"> 1.27 </w:t>
            </w:r>
          </w:p>
        </w:tc>
        <w:tc>
          <w:tcPr>
            <w:tcW w:w="1241" w:type="dxa"/>
          </w:tcPr>
          <w:p w14:paraId="04E42707" w14:textId="77777777" w:rsidR="009813CE" w:rsidRPr="00BA5027" w:rsidRDefault="009813CE" w:rsidP="00394A35">
            <w:pPr>
              <w:spacing w:after="160" w:line="259" w:lineRule="auto"/>
              <w:rPr>
                <w:lang w:val="en-US"/>
              </w:rPr>
            </w:pPr>
            <w:r w:rsidRPr="00237BD6">
              <w:t xml:space="preserve"> 0.03 </w:t>
            </w:r>
          </w:p>
        </w:tc>
        <w:tc>
          <w:tcPr>
            <w:tcW w:w="1240" w:type="dxa"/>
          </w:tcPr>
          <w:p w14:paraId="3FB9EC5E" w14:textId="77777777" w:rsidR="009813CE" w:rsidRPr="00BA5027" w:rsidRDefault="009813CE" w:rsidP="00394A35">
            <w:pPr>
              <w:spacing w:after="160" w:line="259" w:lineRule="auto"/>
              <w:rPr>
                <w:lang w:val="en-US"/>
              </w:rPr>
            </w:pPr>
            <w:r w:rsidRPr="00237BD6">
              <w:t xml:space="preserve"> 0.05 </w:t>
            </w:r>
          </w:p>
        </w:tc>
        <w:tc>
          <w:tcPr>
            <w:tcW w:w="1241" w:type="dxa"/>
          </w:tcPr>
          <w:p w14:paraId="5AADAE29" w14:textId="77777777" w:rsidR="009813CE" w:rsidRPr="00BA5027" w:rsidRDefault="009813CE" w:rsidP="00394A35">
            <w:pPr>
              <w:spacing w:after="160" w:line="259" w:lineRule="auto"/>
              <w:rPr>
                <w:lang w:val="en-US"/>
              </w:rPr>
            </w:pPr>
            <w:r w:rsidRPr="009D33D1">
              <w:t>5.7 %</w:t>
            </w:r>
          </w:p>
        </w:tc>
      </w:tr>
      <w:tr w:rsidR="009813CE" w:rsidRPr="00BA5027" w14:paraId="4E9E3C33" w14:textId="77777777" w:rsidTr="00DC1F43">
        <w:trPr>
          <w:jc w:val="center"/>
        </w:trPr>
        <w:tc>
          <w:tcPr>
            <w:tcW w:w="1696" w:type="dxa"/>
            <w:vAlign w:val="center"/>
          </w:tcPr>
          <w:p w14:paraId="00E75E5A" w14:textId="77777777" w:rsidR="009813CE" w:rsidRPr="00BA5027" w:rsidRDefault="00E10DAD" w:rsidP="00394A35">
            <w:pPr>
              <w:spacing w:after="160" w:line="259" w:lineRule="auto"/>
              <w:rPr>
                <w:lang w:val="en-US"/>
              </w:rPr>
            </w:pPr>
            <m:oMath>
              <m:sSub>
                <m:sSubPr>
                  <m:ctrlPr>
                    <w:rPr>
                      <w:rFonts w:ascii="Cambria Math" w:hAnsi="Cambria Math"/>
                      <w:lang w:val="en-US"/>
                    </w:rPr>
                  </m:ctrlPr>
                </m:sSubPr>
                <m:e>
                  <m:r>
                    <w:rPr>
                      <w:rFonts w:ascii="Cambria Math" w:hAnsi="Cambria Math"/>
                      <w:lang w:val="en-US"/>
                    </w:rPr>
                    <m:t>Q</m:t>
                  </m:r>
                </m:e>
                <m:sub>
                  <m:r>
                    <w:rPr>
                      <w:rFonts w:ascii="Cambria Math" w:hAnsi="Cambria Math"/>
                      <w:lang w:val="en-US"/>
                    </w:rPr>
                    <m:t>HT</m:t>
                  </m:r>
                </m:sub>
              </m:sSub>
            </m:oMath>
            <w:r w:rsidR="009813CE">
              <w:rPr>
                <w:lang w:val="en-US"/>
              </w:rPr>
              <w:t xml:space="preserve"> [kW]</w:t>
            </w:r>
          </w:p>
        </w:tc>
        <w:tc>
          <w:tcPr>
            <w:tcW w:w="1240" w:type="dxa"/>
          </w:tcPr>
          <w:p w14:paraId="471B556C" w14:textId="77777777" w:rsidR="009813CE" w:rsidRPr="00BA5027" w:rsidRDefault="009813CE" w:rsidP="00394A35">
            <w:pPr>
              <w:spacing w:after="160" w:line="259" w:lineRule="auto"/>
              <w:rPr>
                <w:lang w:val="en-US"/>
              </w:rPr>
            </w:pPr>
            <w:r w:rsidRPr="00237BD6">
              <w:t xml:space="preserve"> 2.80 </w:t>
            </w:r>
          </w:p>
        </w:tc>
        <w:tc>
          <w:tcPr>
            <w:tcW w:w="1241" w:type="dxa"/>
          </w:tcPr>
          <w:p w14:paraId="7EA8E8F2" w14:textId="77777777" w:rsidR="009813CE" w:rsidRPr="00BA5027" w:rsidRDefault="009813CE" w:rsidP="00394A35">
            <w:pPr>
              <w:spacing w:after="160" w:line="259" w:lineRule="auto"/>
              <w:rPr>
                <w:lang w:val="en-US"/>
              </w:rPr>
            </w:pPr>
            <w:r w:rsidRPr="00237BD6">
              <w:t xml:space="preserve"> 0.05 </w:t>
            </w:r>
          </w:p>
        </w:tc>
        <w:tc>
          <w:tcPr>
            <w:tcW w:w="1240" w:type="dxa"/>
          </w:tcPr>
          <w:p w14:paraId="30FD99FB" w14:textId="77777777" w:rsidR="009813CE" w:rsidRPr="00BA5027" w:rsidRDefault="009813CE" w:rsidP="00394A35">
            <w:pPr>
              <w:spacing w:after="160" w:line="259" w:lineRule="auto"/>
              <w:rPr>
                <w:lang w:val="en-US"/>
              </w:rPr>
            </w:pPr>
            <w:r w:rsidRPr="00237BD6">
              <w:t xml:space="preserve"> 0.08 </w:t>
            </w:r>
          </w:p>
        </w:tc>
        <w:tc>
          <w:tcPr>
            <w:tcW w:w="1241" w:type="dxa"/>
          </w:tcPr>
          <w:p w14:paraId="0C08F4A6" w14:textId="77777777" w:rsidR="009813CE" w:rsidRPr="00BA5027" w:rsidRDefault="009813CE" w:rsidP="00394A35">
            <w:pPr>
              <w:spacing w:after="160" w:line="259" w:lineRule="auto"/>
              <w:rPr>
                <w:lang w:val="en-US"/>
              </w:rPr>
            </w:pPr>
            <w:r w:rsidRPr="009D33D1">
              <w:t>3.3 %</w:t>
            </w:r>
          </w:p>
        </w:tc>
      </w:tr>
      <w:tr w:rsidR="009813CE" w:rsidRPr="00BA5027" w14:paraId="1F4943E4" w14:textId="77777777" w:rsidTr="00DE218A">
        <w:trPr>
          <w:jc w:val="center"/>
        </w:trPr>
        <w:tc>
          <w:tcPr>
            <w:tcW w:w="1696" w:type="dxa"/>
            <w:vAlign w:val="center"/>
          </w:tcPr>
          <w:p w14:paraId="27785DB3" w14:textId="77777777" w:rsidR="009813CE" w:rsidRPr="00BA5027" w:rsidRDefault="00E10DAD" w:rsidP="00394A35">
            <w:pPr>
              <w:spacing w:after="160" w:line="259" w:lineRule="auto"/>
              <w:rPr>
                <w:lang w:val="en-US"/>
              </w:rPr>
            </w:pPr>
            <m:oMath>
              <m:sSub>
                <m:sSubPr>
                  <m:ctrlPr>
                    <w:rPr>
                      <w:rFonts w:ascii="Cambria Math" w:hAnsi="Cambria Math"/>
                      <w:lang w:val="en-US"/>
                    </w:rPr>
                  </m:ctrlPr>
                </m:sSubPr>
                <m:e>
                  <m:r>
                    <w:rPr>
                      <w:rFonts w:ascii="Cambria Math" w:hAnsi="Cambria Math"/>
                      <w:lang w:val="en-US"/>
                    </w:rPr>
                    <m:t>Q</m:t>
                  </m:r>
                </m:e>
                <m:sub>
                  <m:r>
                    <w:rPr>
                      <w:rFonts w:ascii="Cambria Math" w:hAnsi="Cambria Math"/>
                      <w:lang w:val="en-US"/>
                    </w:rPr>
                    <m:t>LT</m:t>
                  </m:r>
                </m:sub>
              </m:sSub>
            </m:oMath>
            <w:r w:rsidR="009813CE">
              <w:rPr>
                <w:lang w:val="en-US"/>
              </w:rPr>
              <w:t xml:space="preserve"> [kW]</w:t>
            </w:r>
          </w:p>
        </w:tc>
        <w:tc>
          <w:tcPr>
            <w:tcW w:w="1240" w:type="dxa"/>
          </w:tcPr>
          <w:p w14:paraId="4FAF6874" w14:textId="77777777" w:rsidR="009813CE" w:rsidRPr="00BA5027" w:rsidRDefault="009813CE" w:rsidP="00394A35">
            <w:pPr>
              <w:spacing w:after="160" w:line="259" w:lineRule="auto"/>
              <w:rPr>
                <w:lang w:val="en-US"/>
              </w:rPr>
            </w:pPr>
            <w:r w:rsidRPr="00237BD6">
              <w:t xml:space="preserve"> 0.93 </w:t>
            </w:r>
          </w:p>
        </w:tc>
        <w:tc>
          <w:tcPr>
            <w:tcW w:w="1241" w:type="dxa"/>
          </w:tcPr>
          <w:p w14:paraId="17470E79" w14:textId="77777777" w:rsidR="009813CE" w:rsidRPr="00BA5027" w:rsidRDefault="009813CE" w:rsidP="00394A35">
            <w:pPr>
              <w:spacing w:after="160" w:line="259" w:lineRule="auto"/>
              <w:rPr>
                <w:lang w:val="en-US"/>
              </w:rPr>
            </w:pPr>
            <w:r w:rsidRPr="00237BD6">
              <w:t xml:space="preserve"> 0.06 </w:t>
            </w:r>
          </w:p>
        </w:tc>
        <w:tc>
          <w:tcPr>
            <w:tcW w:w="1240" w:type="dxa"/>
          </w:tcPr>
          <w:p w14:paraId="1C02F3C1" w14:textId="77777777" w:rsidR="009813CE" w:rsidRPr="00BA5027" w:rsidRDefault="009813CE" w:rsidP="00394A35">
            <w:pPr>
              <w:spacing w:after="160" w:line="259" w:lineRule="auto"/>
              <w:rPr>
                <w:lang w:val="en-US"/>
              </w:rPr>
            </w:pPr>
            <w:r w:rsidRPr="00237BD6">
              <w:t xml:space="preserve"> 0.08 </w:t>
            </w:r>
          </w:p>
        </w:tc>
        <w:tc>
          <w:tcPr>
            <w:tcW w:w="1241" w:type="dxa"/>
          </w:tcPr>
          <w:p w14:paraId="384DE4A4" w14:textId="77777777" w:rsidR="009813CE" w:rsidRPr="00BA5027" w:rsidRDefault="009813CE" w:rsidP="00394A35">
            <w:pPr>
              <w:spacing w:after="160" w:line="259" w:lineRule="auto"/>
              <w:rPr>
                <w:lang w:val="en-US"/>
              </w:rPr>
            </w:pPr>
            <w:r w:rsidRPr="009D33D1">
              <w:t>0.5 %</w:t>
            </w:r>
          </w:p>
        </w:tc>
      </w:tr>
      <w:tr w:rsidR="009813CE" w:rsidRPr="00BA5027" w14:paraId="5D6520CA" w14:textId="77777777" w:rsidTr="00C178A3">
        <w:trPr>
          <w:trHeight w:val="70"/>
          <w:jc w:val="center"/>
        </w:trPr>
        <w:tc>
          <w:tcPr>
            <w:tcW w:w="1696" w:type="dxa"/>
            <w:tcBorders>
              <w:bottom w:val="single" w:sz="4" w:space="0" w:color="auto"/>
            </w:tcBorders>
            <w:vAlign w:val="center"/>
          </w:tcPr>
          <w:p w14:paraId="58BE5346" w14:textId="77777777" w:rsidR="009813CE" w:rsidRPr="00BA5027" w:rsidRDefault="00E10DAD" w:rsidP="00394A35">
            <w:pPr>
              <w:spacing w:after="160" w:line="259" w:lineRule="auto"/>
              <w:rPr>
                <w:lang w:val="en-US"/>
              </w:rPr>
            </w:pP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HP</m:t>
                  </m:r>
                </m:sub>
              </m:sSub>
            </m:oMath>
            <w:r w:rsidR="009813CE">
              <w:rPr>
                <w:lang w:val="en-US"/>
              </w:rPr>
              <w:t xml:space="preserve"> [kW]</w:t>
            </w:r>
          </w:p>
        </w:tc>
        <w:tc>
          <w:tcPr>
            <w:tcW w:w="1240" w:type="dxa"/>
            <w:tcBorders>
              <w:bottom w:val="single" w:sz="4" w:space="0" w:color="auto"/>
            </w:tcBorders>
          </w:tcPr>
          <w:p w14:paraId="188D8F48" w14:textId="77777777" w:rsidR="009813CE" w:rsidRPr="00BA5027" w:rsidRDefault="009813CE" w:rsidP="00394A35">
            <w:pPr>
              <w:spacing w:after="160" w:line="259" w:lineRule="auto"/>
              <w:rPr>
                <w:lang w:val="en-US"/>
              </w:rPr>
            </w:pPr>
            <w:r w:rsidRPr="00237BD6">
              <w:t xml:space="preserve"> 1.04 </w:t>
            </w:r>
          </w:p>
        </w:tc>
        <w:tc>
          <w:tcPr>
            <w:tcW w:w="1241" w:type="dxa"/>
            <w:tcBorders>
              <w:bottom w:val="single" w:sz="4" w:space="0" w:color="auto"/>
            </w:tcBorders>
          </w:tcPr>
          <w:p w14:paraId="09BE7163" w14:textId="77777777" w:rsidR="009813CE" w:rsidRPr="00BA5027" w:rsidRDefault="009813CE" w:rsidP="00394A35">
            <w:pPr>
              <w:spacing w:after="160" w:line="259" w:lineRule="auto"/>
              <w:rPr>
                <w:lang w:val="en-US"/>
              </w:rPr>
            </w:pPr>
            <w:r w:rsidRPr="00237BD6">
              <w:t xml:space="preserve"> 0.02 </w:t>
            </w:r>
          </w:p>
        </w:tc>
        <w:tc>
          <w:tcPr>
            <w:tcW w:w="1240" w:type="dxa"/>
            <w:tcBorders>
              <w:bottom w:val="single" w:sz="4" w:space="0" w:color="auto"/>
            </w:tcBorders>
          </w:tcPr>
          <w:p w14:paraId="6A10873A" w14:textId="77777777" w:rsidR="009813CE" w:rsidRPr="00BA5027" w:rsidRDefault="009813CE" w:rsidP="00394A35">
            <w:pPr>
              <w:spacing w:after="160" w:line="259" w:lineRule="auto"/>
              <w:rPr>
                <w:lang w:val="en-US"/>
              </w:rPr>
            </w:pPr>
            <w:r w:rsidRPr="00237BD6">
              <w:t xml:space="preserve"> 0.03 </w:t>
            </w:r>
          </w:p>
        </w:tc>
        <w:tc>
          <w:tcPr>
            <w:tcW w:w="1241" w:type="dxa"/>
            <w:tcBorders>
              <w:bottom w:val="single" w:sz="4" w:space="0" w:color="auto"/>
            </w:tcBorders>
          </w:tcPr>
          <w:p w14:paraId="1720B8FB" w14:textId="77777777" w:rsidR="009813CE" w:rsidRPr="00BA5027" w:rsidRDefault="009813CE" w:rsidP="00394A35">
            <w:pPr>
              <w:spacing w:after="160" w:line="259" w:lineRule="auto"/>
              <w:rPr>
                <w:lang w:val="en-US"/>
              </w:rPr>
            </w:pPr>
            <w:r w:rsidRPr="009D33D1">
              <w:t>2.4 %</w:t>
            </w:r>
          </w:p>
        </w:tc>
      </w:tr>
    </w:tbl>
    <w:p w14:paraId="05456DB1" w14:textId="77777777" w:rsidR="00AC2FB1" w:rsidRDefault="00AC2FB1" w:rsidP="00AC2FB1">
      <w:pPr>
        <w:ind w:firstLine="284"/>
        <w:rPr>
          <w:lang w:val="en-US"/>
        </w:rPr>
      </w:pPr>
    </w:p>
    <w:p w14:paraId="29AE1A77" w14:textId="0BFAB0C7" w:rsidR="00AC2FB1" w:rsidRDefault="0029380D" w:rsidP="00AC2FB1">
      <w:pPr>
        <w:ind w:firstLine="284"/>
        <w:rPr>
          <w:lang w:val="en-US"/>
        </w:rPr>
      </w:pPr>
      <w:r w:rsidRPr="0029380D">
        <w:rPr>
          <w:lang w:val="en-US"/>
        </w:rPr>
        <w:t>The model consistently predicts accurately across all output parameters</w:t>
      </w:r>
      <w:r w:rsidR="00AF4AAC" w:rsidRPr="00EC1039">
        <w:rPr>
          <w:lang w:val="en-US"/>
        </w:rPr>
        <w:t xml:space="preserve">. The test set, derived randomly from the initial dataset during preprocessing, </w:t>
      </w:r>
      <w:r w:rsidR="00AF4AAC">
        <w:rPr>
          <w:lang w:val="en-US"/>
        </w:rPr>
        <w:t>contains</w:t>
      </w:r>
      <w:r w:rsidR="00AF4AAC" w:rsidRPr="00EC1039">
        <w:rPr>
          <w:lang w:val="en-US"/>
        </w:rPr>
        <w:t xml:space="preserve"> </w:t>
      </w:r>
      <w:r w:rsidR="00AF4AAC">
        <w:rPr>
          <w:lang w:val="en-US"/>
        </w:rPr>
        <w:t>t</w:t>
      </w:r>
      <w:r w:rsidR="00AF4AAC" w:rsidRPr="00EC1039">
        <w:rPr>
          <w:lang w:val="en-US"/>
        </w:rPr>
        <w:t>he distinct data points from training, leaving out the in-between values such as those that lie between the 5 K</w:t>
      </w:r>
      <w:r w:rsidR="00AF4AAC">
        <w:rPr>
          <w:lang w:val="en-US"/>
        </w:rPr>
        <w:t xml:space="preserve"> temperature</w:t>
      </w:r>
      <w:r w:rsidR="00AF4AAC" w:rsidRPr="00EC1039">
        <w:rPr>
          <w:lang w:val="en-US"/>
        </w:rPr>
        <w:t xml:space="preserve"> intervals.</w:t>
      </w:r>
      <w:r w:rsidR="00AF4AAC">
        <w:rPr>
          <w:lang w:val="en-US"/>
        </w:rPr>
        <w:t xml:space="preserve"> </w:t>
      </w:r>
      <w:r w:rsidR="009813CE" w:rsidRPr="00EC1039">
        <w:rPr>
          <w:lang w:val="en-US"/>
        </w:rPr>
        <w:t xml:space="preserve">Given the </w:t>
      </w:r>
      <w:r w:rsidR="009813CE">
        <w:rPr>
          <w:lang w:val="en-US"/>
        </w:rPr>
        <w:t xml:space="preserve">ANN’s </w:t>
      </w:r>
      <w:r w:rsidR="009813CE" w:rsidRPr="00EC1039">
        <w:rPr>
          <w:lang w:val="en-US"/>
        </w:rPr>
        <w:t>ability</w:t>
      </w:r>
      <w:r w:rsidR="009813CE">
        <w:rPr>
          <w:lang w:val="en-US"/>
        </w:rPr>
        <w:t xml:space="preserve"> to </w:t>
      </w:r>
      <w:r w:rsidR="009813CE" w:rsidRPr="00EC1039">
        <w:rPr>
          <w:lang w:val="en-US"/>
        </w:rPr>
        <w:t>interpolate, assessing the model's performance on these intermediate data points becomes essential.</w:t>
      </w:r>
      <w:r w:rsidR="009813CE">
        <w:rPr>
          <w:lang w:val="en-US"/>
        </w:rPr>
        <w:t xml:space="preserve"> </w:t>
      </w:r>
      <w:r w:rsidR="009813CE" w:rsidRPr="00FA3265">
        <w:rPr>
          <w:lang w:val="en-US"/>
        </w:rPr>
        <w:t xml:space="preserve">Furthermore, due to the random generation of the test set, presenting the model's </w:t>
      </w:r>
      <w:r w:rsidR="009813CE" w:rsidRPr="00FA3265">
        <w:rPr>
          <w:lang w:val="en-US"/>
        </w:rPr>
        <w:lastRenderedPageBreak/>
        <w:t>results over a continuous period becomes challenging.</w:t>
      </w:r>
      <w:r w:rsidR="009813CE">
        <w:rPr>
          <w:lang w:val="en-US"/>
        </w:rPr>
        <w:t xml:space="preserve"> </w:t>
      </w:r>
      <w:r w:rsidR="009813CE" w:rsidRPr="002735D8">
        <w:rPr>
          <w:lang w:val="en-US"/>
        </w:rPr>
        <w:t xml:space="preserve">To provide a more comprehensive validation, a secondary test was conducted. Over a 20-hour span, three months after collecting the initial dataset, the system was subjected to four distinct gas cooler inlet temperature configurations. </w:t>
      </w:r>
      <w:r w:rsidR="009813CE" w:rsidRPr="00FA3265">
        <w:rPr>
          <w:lang w:val="en-US"/>
        </w:rPr>
        <w:t xml:space="preserve">The initial three configurations used temperatures that fell between </w:t>
      </w:r>
      <w:r w:rsidR="009813CE" w:rsidRPr="00111186">
        <w:rPr>
          <w:lang w:val="en-US"/>
        </w:rPr>
        <w:t xml:space="preserve">those of the initial training, while the fourth used setpoints mirroring the temperatures from the original dataset. Details of the inlet temperature variations for this additional validation can be found in </w:t>
      </w:r>
      <w:r w:rsidR="009813CE" w:rsidRPr="00111186">
        <w:rPr>
          <w:lang w:val="en-US"/>
        </w:rPr>
        <w:fldChar w:fldCharType="begin"/>
      </w:r>
      <w:r w:rsidR="009813CE" w:rsidRPr="00111186">
        <w:rPr>
          <w:lang w:val="en-US"/>
        </w:rPr>
        <w:instrText xml:space="preserve"> REF _Ref143766375 \h </w:instrText>
      </w:r>
      <w:r w:rsidR="00111186" w:rsidRPr="00111186">
        <w:rPr>
          <w:lang w:val="en-US"/>
        </w:rPr>
        <w:instrText xml:space="preserve"> \* MERGEFORMAT </w:instrText>
      </w:r>
      <w:r w:rsidR="009813CE" w:rsidRPr="00111186">
        <w:rPr>
          <w:lang w:val="en-US"/>
        </w:rPr>
      </w:r>
      <w:r w:rsidR="009813CE" w:rsidRPr="00111186">
        <w:rPr>
          <w:lang w:val="en-US"/>
        </w:rPr>
        <w:fldChar w:fldCharType="separate"/>
      </w:r>
      <w:r w:rsidR="00D20F5E" w:rsidRPr="00D20F5E">
        <w:rPr>
          <w:rFonts w:ascii="Times New Roman" w:hAnsi="Times New Roman"/>
          <w:lang w:eastAsia="en-GB"/>
        </w:rPr>
        <w:t>Table 2</w:t>
      </w:r>
      <w:r w:rsidR="009813CE" w:rsidRPr="00111186">
        <w:rPr>
          <w:lang w:val="en-US"/>
        </w:rPr>
        <w:fldChar w:fldCharType="end"/>
      </w:r>
      <w:r w:rsidR="009813CE" w:rsidRPr="00111186">
        <w:rPr>
          <w:lang w:val="en-US"/>
        </w:rPr>
        <w:t xml:space="preserve"> and </w:t>
      </w:r>
      <w:r w:rsidR="009813CE" w:rsidRPr="00111186">
        <w:rPr>
          <w:lang w:val="en-US"/>
        </w:rPr>
        <w:fldChar w:fldCharType="begin"/>
      </w:r>
      <w:r w:rsidR="009813CE" w:rsidRPr="00111186">
        <w:rPr>
          <w:lang w:val="en-US"/>
        </w:rPr>
        <w:instrText xml:space="preserve"> REF _Ref143752966 \h </w:instrText>
      </w:r>
      <w:r w:rsidR="00111186" w:rsidRPr="00111186">
        <w:rPr>
          <w:lang w:val="en-US"/>
        </w:rPr>
        <w:instrText xml:space="preserve"> \* MERGEFORMAT </w:instrText>
      </w:r>
      <w:r w:rsidR="009813CE" w:rsidRPr="00111186">
        <w:rPr>
          <w:lang w:val="en-US"/>
        </w:rPr>
      </w:r>
      <w:r w:rsidR="009813CE" w:rsidRPr="00111186">
        <w:rPr>
          <w:lang w:val="en-US"/>
        </w:rPr>
        <w:fldChar w:fldCharType="separate"/>
      </w:r>
      <w:r w:rsidR="00CB2184" w:rsidRPr="00CB2184">
        <w:rPr>
          <w:rFonts w:ascii="Times New Roman" w:hAnsi="Times New Roman"/>
          <w:lang w:eastAsia="en-GB"/>
        </w:rPr>
        <w:t xml:space="preserve">Figure </w:t>
      </w:r>
      <w:r w:rsidR="00CB2184" w:rsidRPr="00CB2184">
        <w:rPr>
          <w:rFonts w:ascii="Times New Roman" w:hAnsi="Times New Roman"/>
          <w:noProof/>
          <w:lang w:eastAsia="en-GB"/>
        </w:rPr>
        <w:t>4</w:t>
      </w:r>
      <w:r w:rsidR="009813CE" w:rsidRPr="00111186">
        <w:rPr>
          <w:lang w:val="en-US"/>
        </w:rPr>
        <w:fldChar w:fldCharType="end"/>
      </w:r>
      <w:r w:rsidR="009813CE" w:rsidRPr="00111186">
        <w:rPr>
          <w:lang w:val="en-US"/>
        </w:rPr>
        <w:t>.</w:t>
      </w:r>
    </w:p>
    <w:p w14:paraId="51CC2209" w14:textId="77777777" w:rsidR="00E95D92" w:rsidRPr="00AC2FB1" w:rsidRDefault="00E95D92" w:rsidP="00AC2FB1">
      <w:pPr>
        <w:ind w:firstLine="284"/>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
        <w:gridCol w:w="2958"/>
        <w:gridCol w:w="3119"/>
      </w:tblGrid>
      <w:tr w:rsidR="00EF379B" w:rsidRPr="00EF379B" w14:paraId="70058E9F" w14:textId="77777777" w:rsidTr="00EF379B">
        <w:trPr>
          <w:jc w:val="center"/>
        </w:trPr>
        <w:tc>
          <w:tcPr>
            <w:tcW w:w="6516" w:type="dxa"/>
            <w:gridSpan w:val="3"/>
          </w:tcPr>
          <w:p w14:paraId="17032DED" w14:textId="45F1FC1C" w:rsidR="00EF379B" w:rsidRPr="00A87F17" w:rsidRDefault="00EF379B" w:rsidP="00EF379B">
            <w:pPr>
              <w:jc w:val="center"/>
              <w:rPr>
                <w:lang w:val="sv-SE"/>
              </w:rPr>
            </w:pPr>
            <w:bookmarkStart w:id="4" w:name="_Ref143766375"/>
            <w:r w:rsidRPr="00DC1F43">
              <w:rPr>
                <w:rFonts w:ascii="Times New Roman" w:hAnsi="Times New Roman"/>
                <w:b/>
                <w:lang w:eastAsia="en-GB"/>
              </w:rPr>
              <w:t xml:space="preserve">Table </w:t>
            </w:r>
            <w:r w:rsidRPr="00DC1F43">
              <w:rPr>
                <w:rFonts w:ascii="Times New Roman" w:hAnsi="Times New Roman"/>
                <w:b/>
                <w:lang w:eastAsia="en-GB"/>
              </w:rPr>
              <w:fldChar w:fldCharType="begin"/>
            </w:r>
            <w:r w:rsidRPr="00DC1F43">
              <w:rPr>
                <w:rFonts w:ascii="Times New Roman" w:hAnsi="Times New Roman"/>
                <w:b/>
                <w:lang w:eastAsia="en-GB"/>
              </w:rPr>
              <w:instrText xml:space="preserve"> SEQ Table \* ARABIC </w:instrText>
            </w:r>
            <w:r w:rsidRPr="00DC1F43">
              <w:rPr>
                <w:rFonts w:ascii="Times New Roman" w:hAnsi="Times New Roman"/>
                <w:b/>
                <w:lang w:eastAsia="en-GB"/>
              </w:rPr>
              <w:fldChar w:fldCharType="separate"/>
            </w:r>
            <w:r w:rsidR="00CB2184">
              <w:rPr>
                <w:rFonts w:ascii="Times New Roman" w:hAnsi="Times New Roman"/>
                <w:b/>
                <w:noProof/>
                <w:lang w:eastAsia="en-GB"/>
              </w:rPr>
              <w:t>2</w:t>
            </w:r>
            <w:r w:rsidRPr="00DC1F43">
              <w:rPr>
                <w:rFonts w:ascii="Times New Roman" w:hAnsi="Times New Roman"/>
                <w:b/>
                <w:lang w:eastAsia="en-GB"/>
              </w:rPr>
              <w:fldChar w:fldCharType="end"/>
            </w:r>
            <w:bookmarkEnd w:id="4"/>
            <w:r>
              <w:rPr>
                <w:rFonts w:ascii="Times New Roman" w:hAnsi="Times New Roman"/>
                <w:b/>
                <w:lang w:eastAsia="en-GB"/>
              </w:rPr>
              <w:t>.</w:t>
            </w:r>
            <w:r w:rsidRPr="00DC1F43">
              <w:rPr>
                <w:rFonts w:ascii="Times New Roman" w:hAnsi="Times New Roman"/>
                <w:b/>
                <w:lang w:eastAsia="en-GB"/>
              </w:rPr>
              <w:t xml:space="preserve"> </w:t>
            </w:r>
            <w:r w:rsidRPr="00DC1F43">
              <w:rPr>
                <w:rFonts w:ascii="Times New Roman" w:hAnsi="Times New Roman"/>
                <w:bCs/>
                <w:lang w:eastAsia="en-GB"/>
              </w:rPr>
              <w:t>Inlet temperature setpoints for model evaluation</w:t>
            </w:r>
            <w:r>
              <w:rPr>
                <w:rFonts w:ascii="Times New Roman" w:hAnsi="Times New Roman"/>
                <w:bCs/>
                <w:lang w:eastAsia="en-GB"/>
              </w:rPr>
              <w:t>.</w:t>
            </w:r>
          </w:p>
        </w:tc>
      </w:tr>
      <w:tr w:rsidR="009813CE" w:rsidRPr="00D67D7E" w14:paraId="56DABD58" w14:textId="77777777" w:rsidTr="00DC1F43">
        <w:trPr>
          <w:jc w:val="center"/>
        </w:trPr>
        <w:tc>
          <w:tcPr>
            <w:tcW w:w="439" w:type="dxa"/>
            <w:tcBorders>
              <w:top w:val="single" w:sz="4" w:space="0" w:color="auto"/>
            </w:tcBorders>
          </w:tcPr>
          <w:p w14:paraId="1CEE29EE" w14:textId="4EF5E49A" w:rsidR="009813CE" w:rsidRDefault="009813CE" w:rsidP="00394A35">
            <w:pPr>
              <w:rPr>
                <w:lang w:val="en-US"/>
              </w:rPr>
            </w:pPr>
          </w:p>
        </w:tc>
        <w:tc>
          <w:tcPr>
            <w:tcW w:w="2958" w:type="dxa"/>
            <w:tcBorders>
              <w:top w:val="single" w:sz="4" w:space="0" w:color="auto"/>
              <w:bottom w:val="single" w:sz="4" w:space="0" w:color="auto"/>
            </w:tcBorders>
          </w:tcPr>
          <w:p w14:paraId="77CB4448" w14:textId="77777777" w:rsidR="009813CE" w:rsidRPr="00A87F17" w:rsidRDefault="009813CE" w:rsidP="00394A35">
            <w:pPr>
              <w:rPr>
                <w:lang w:val="sv-SE"/>
              </w:rPr>
            </w:pPr>
            <w:r w:rsidRPr="00A87F17">
              <w:rPr>
                <w:lang w:val="sv-SE"/>
              </w:rPr>
              <w:t>Inlet temperature HT GC [°C]</w:t>
            </w:r>
          </w:p>
        </w:tc>
        <w:tc>
          <w:tcPr>
            <w:tcW w:w="3119" w:type="dxa"/>
            <w:tcBorders>
              <w:top w:val="single" w:sz="4" w:space="0" w:color="auto"/>
              <w:bottom w:val="single" w:sz="4" w:space="0" w:color="auto"/>
            </w:tcBorders>
          </w:tcPr>
          <w:p w14:paraId="4C078088" w14:textId="77777777" w:rsidR="009813CE" w:rsidRPr="00A87F17" w:rsidRDefault="009813CE" w:rsidP="00394A35">
            <w:pPr>
              <w:rPr>
                <w:lang w:val="sv-SE"/>
              </w:rPr>
            </w:pPr>
            <w:r w:rsidRPr="00A87F17">
              <w:rPr>
                <w:lang w:val="sv-SE"/>
              </w:rPr>
              <w:t>Inlet temperature LT GC [°C]</w:t>
            </w:r>
          </w:p>
        </w:tc>
      </w:tr>
      <w:tr w:rsidR="009813CE" w14:paraId="33351477" w14:textId="77777777" w:rsidTr="00DC1F43">
        <w:trPr>
          <w:jc w:val="center"/>
        </w:trPr>
        <w:tc>
          <w:tcPr>
            <w:tcW w:w="439" w:type="dxa"/>
          </w:tcPr>
          <w:p w14:paraId="209EADF1" w14:textId="77777777" w:rsidR="009813CE" w:rsidRDefault="009813CE" w:rsidP="00394A35">
            <w:pPr>
              <w:rPr>
                <w:lang w:val="en-US"/>
              </w:rPr>
            </w:pPr>
            <w:r>
              <w:rPr>
                <w:lang w:val="en-US"/>
              </w:rPr>
              <w:t>1</w:t>
            </w:r>
          </w:p>
        </w:tc>
        <w:tc>
          <w:tcPr>
            <w:tcW w:w="2958" w:type="dxa"/>
            <w:tcBorders>
              <w:top w:val="single" w:sz="4" w:space="0" w:color="auto"/>
            </w:tcBorders>
          </w:tcPr>
          <w:p w14:paraId="0283A948" w14:textId="77777777" w:rsidR="009813CE" w:rsidRDefault="009813CE" w:rsidP="00394A35">
            <w:pPr>
              <w:jc w:val="center"/>
              <w:rPr>
                <w:lang w:val="en-US"/>
              </w:rPr>
            </w:pPr>
            <w:r>
              <w:rPr>
                <w:lang w:val="en-US"/>
              </w:rPr>
              <w:t>28</w:t>
            </w:r>
          </w:p>
        </w:tc>
        <w:tc>
          <w:tcPr>
            <w:tcW w:w="3119" w:type="dxa"/>
            <w:tcBorders>
              <w:top w:val="single" w:sz="4" w:space="0" w:color="auto"/>
            </w:tcBorders>
          </w:tcPr>
          <w:p w14:paraId="1001E183" w14:textId="77777777" w:rsidR="009813CE" w:rsidRDefault="009813CE" w:rsidP="00394A35">
            <w:pPr>
              <w:jc w:val="center"/>
              <w:rPr>
                <w:lang w:val="en-US"/>
              </w:rPr>
            </w:pPr>
            <w:r>
              <w:rPr>
                <w:lang w:val="en-US"/>
              </w:rPr>
              <w:t>25</w:t>
            </w:r>
          </w:p>
        </w:tc>
      </w:tr>
      <w:tr w:rsidR="009813CE" w14:paraId="742BFFA2" w14:textId="77777777" w:rsidTr="00DC1F43">
        <w:trPr>
          <w:jc w:val="center"/>
        </w:trPr>
        <w:tc>
          <w:tcPr>
            <w:tcW w:w="439" w:type="dxa"/>
          </w:tcPr>
          <w:p w14:paraId="165EFAB7" w14:textId="77777777" w:rsidR="009813CE" w:rsidRDefault="009813CE" w:rsidP="00394A35">
            <w:pPr>
              <w:rPr>
                <w:lang w:val="en-US"/>
              </w:rPr>
            </w:pPr>
            <w:r>
              <w:rPr>
                <w:lang w:val="en-US"/>
              </w:rPr>
              <w:t>2</w:t>
            </w:r>
          </w:p>
        </w:tc>
        <w:tc>
          <w:tcPr>
            <w:tcW w:w="2958" w:type="dxa"/>
          </w:tcPr>
          <w:p w14:paraId="54C4FE05" w14:textId="77777777" w:rsidR="009813CE" w:rsidRDefault="009813CE" w:rsidP="00394A35">
            <w:pPr>
              <w:jc w:val="center"/>
              <w:rPr>
                <w:lang w:val="en-US"/>
              </w:rPr>
            </w:pPr>
            <w:r>
              <w:rPr>
                <w:lang w:val="en-US"/>
              </w:rPr>
              <w:t>32</w:t>
            </w:r>
          </w:p>
        </w:tc>
        <w:tc>
          <w:tcPr>
            <w:tcW w:w="3119" w:type="dxa"/>
          </w:tcPr>
          <w:p w14:paraId="2451E0DB" w14:textId="77777777" w:rsidR="009813CE" w:rsidRDefault="009813CE" w:rsidP="00394A35">
            <w:pPr>
              <w:jc w:val="center"/>
              <w:rPr>
                <w:lang w:val="en-US"/>
              </w:rPr>
            </w:pPr>
            <w:r>
              <w:rPr>
                <w:lang w:val="en-US"/>
              </w:rPr>
              <w:t>22</w:t>
            </w:r>
          </w:p>
        </w:tc>
      </w:tr>
      <w:tr w:rsidR="009813CE" w14:paraId="3E41FBEE" w14:textId="77777777" w:rsidTr="00DC1F43">
        <w:trPr>
          <w:jc w:val="center"/>
        </w:trPr>
        <w:tc>
          <w:tcPr>
            <w:tcW w:w="439" w:type="dxa"/>
          </w:tcPr>
          <w:p w14:paraId="56FACE08" w14:textId="77777777" w:rsidR="009813CE" w:rsidRDefault="009813CE" w:rsidP="00394A35">
            <w:pPr>
              <w:rPr>
                <w:lang w:val="en-US"/>
              </w:rPr>
            </w:pPr>
            <w:r>
              <w:rPr>
                <w:lang w:val="en-US"/>
              </w:rPr>
              <w:t>3</w:t>
            </w:r>
          </w:p>
        </w:tc>
        <w:tc>
          <w:tcPr>
            <w:tcW w:w="2958" w:type="dxa"/>
          </w:tcPr>
          <w:p w14:paraId="6EBEDD33" w14:textId="77777777" w:rsidR="009813CE" w:rsidRDefault="009813CE" w:rsidP="00394A35">
            <w:pPr>
              <w:jc w:val="center"/>
              <w:rPr>
                <w:lang w:val="en-US"/>
              </w:rPr>
            </w:pPr>
            <w:r>
              <w:rPr>
                <w:lang w:val="en-US"/>
              </w:rPr>
              <w:t>47</w:t>
            </w:r>
          </w:p>
        </w:tc>
        <w:tc>
          <w:tcPr>
            <w:tcW w:w="3119" w:type="dxa"/>
          </w:tcPr>
          <w:p w14:paraId="2B38D4A1" w14:textId="77777777" w:rsidR="009813CE" w:rsidRDefault="009813CE" w:rsidP="00394A35">
            <w:pPr>
              <w:jc w:val="center"/>
              <w:rPr>
                <w:lang w:val="en-US"/>
              </w:rPr>
            </w:pPr>
            <w:r>
              <w:rPr>
                <w:lang w:val="en-US"/>
              </w:rPr>
              <w:t>26</w:t>
            </w:r>
          </w:p>
        </w:tc>
      </w:tr>
      <w:tr w:rsidR="009813CE" w14:paraId="01EDD179" w14:textId="77777777" w:rsidTr="00DC1F43">
        <w:trPr>
          <w:jc w:val="center"/>
        </w:trPr>
        <w:tc>
          <w:tcPr>
            <w:tcW w:w="439" w:type="dxa"/>
            <w:tcBorders>
              <w:bottom w:val="single" w:sz="4" w:space="0" w:color="auto"/>
            </w:tcBorders>
          </w:tcPr>
          <w:p w14:paraId="046AB254" w14:textId="77777777" w:rsidR="009813CE" w:rsidRDefault="009813CE" w:rsidP="00394A35">
            <w:pPr>
              <w:rPr>
                <w:lang w:val="en-US"/>
              </w:rPr>
            </w:pPr>
            <w:r>
              <w:rPr>
                <w:lang w:val="en-US"/>
              </w:rPr>
              <w:t>4</w:t>
            </w:r>
          </w:p>
        </w:tc>
        <w:tc>
          <w:tcPr>
            <w:tcW w:w="2958" w:type="dxa"/>
            <w:tcBorders>
              <w:bottom w:val="single" w:sz="4" w:space="0" w:color="auto"/>
            </w:tcBorders>
          </w:tcPr>
          <w:p w14:paraId="0C480454" w14:textId="77777777" w:rsidR="009813CE" w:rsidRDefault="009813CE" w:rsidP="00394A35">
            <w:pPr>
              <w:jc w:val="center"/>
              <w:rPr>
                <w:lang w:val="en-US"/>
              </w:rPr>
            </w:pPr>
            <w:r>
              <w:rPr>
                <w:lang w:val="en-US"/>
              </w:rPr>
              <w:t>35</w:t>
            </w:r>
          </w:p>
        </w:tc>
        <w:tc>
          <w:tcPr>
            <w:tcW w:w="3119" w:type="dxa"/>
            <w:tcBorders>
              <w:bottom w:val="single" w:sz="4" w:space="0" w:color="auto"/>
            </w:tcBorders>
          </w:tcPr>
          <w:p w14:paraId="41DACCC1" w14:textId="77777777" w:rsidR="009813CE" w:rsidRDefault="009813CE" w:rsidP="00394A35">
            <w:pPr>
              <w:jc w:val="center"/>
              <w:rPr>
                <w:lang w:val="en-US"/>
              </w:rPr>
            </w:pPr>
            <w:r>
              <w:rPr>
                <w:lang w:val="en-US"/>
              </w:rPr>
              <w:t>20</w:t>
            </w:r>
          </w:p>
        </w:tc>
      </w:tr>
    </w:tbl>
    <w:p w14:paraId="1B89BBC4" w14:textId="77777777" w:rsidR="009813CE" w:rsidRDefault="009813CE" w:rsidP="009813C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F13304" w14:paraId="55352130" w14:textId="77777777" w:rsidTr="00111186">
        <w:tc>
          <w:tcPr>
            <w:tcW w:w="9061" w:type="dxa"/>
          </w:tcPr>
          <w:p w14:paraId="0AD62AD0" w14:textId="36C8EB66" w:rsidR="00F13304" w:rsidRDefault="00CB2184" w:rsidP="00F13304">
            <w:pPr>
              <w:jc w:val="center"/>
              <w:rPr>
                <w:lang w:val="en-US"/>
              </w:rPr>
            </w:pPr>
            <w:r>
              <w:rPr>
                <w:noProof/>
                <w:lang w:val="en-US"/>
              </w:rPr>
              <w:drawing>
                <wp:inline distT="0" distB="0" distL="0" distR="0" wp14:anchorId="54FB8052" wp14:editId="78FF8B6E">
                  <wp:extent cx="4914150" cy="3252083"/>
                  <wp:effectExtent l="0" t="0" r="1270" b="5715"/>
                  <wp:docPr id="1807658417" name="Picture 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58417" name="Picture 8" descr="A screenshot of a computer screen&#10;&#10;Description automatically generated"/>
                          <pic:cNvPicPr/>
                        </pic:nvPicPr>
                        <pic:blipFill>
                          <a:blip r:embed="rId14"/>
                          <a:stretch>
                            <a:fillRect/>
                          </a:stretch>
                        </pic:blipFill>
                        <pic:spPr>
                          <a:xfrm>
                            <a:off x="0" y="0"/>
                            <a:ext cx="4987375" cy="3300542"/>
                          </a:xfrm>
                          <a:prstGeom prst="rect">
                            <a:avLst/>
                          </a:prstGeom>
                        </pic:spPr>
                      </pic:pic>
                    </a:graphicData>
                  </a:graphic>
                </wp:inline>
              </w:drawing>
            </w:r>
          </w:p>
        </w:tc>
      </w:tr>
      <w:tr w:rsidR="00F13304" w14:paraId="2AF2B382" w14:textId="77777777" w:rsidTr="00111186">
        <w:tc>
          <w:tcPr>
            <w:tcW w:w="9061" w:type="dxa"/>
          </w:tcPr>
          <w:p w14:paraId="72470E0B" w14:textId="7D77203F" w:rsidR="00AF4AAC" w:rsidRPr="00AF4AAC" w:rsidRDefault="00F13304" w:rsidP="00041812">
            <w:pPr>
              <w:pStyle w:val="FigureCaption"/>
              <w:spacing w:before="120"/>
              <w:rPr>
                <w:rFonts w:ascii="Times New Roman" w:hAnsi="Times New Roman"/>
                <w:bCs/>
                <w:lang w:eastAsia="en-GB"/>
              </w:rPr>
            </w:pPr>
            <w:bookmarkStart w:id="5" w:name="_Ref143752966"/>
            <w:r w:rsidRPr="00DE218A">
              <w:rPr>
                <w:rFonts w:ascii="Times New Roman" w:hAnsi="Times New Roman"/>
                <w:b/>
                <w:lang w:eastAsia="en-GB"/>
              </w:rPr>
              <w:t xml:space="preserve">Figure </w:t>
            </w:r>
            <w:r w:rsidRPr="00DE218A">
              <w:rPr>
                <w:rFonts w:ascii="Times New Roman" w:hAnsi="Times New Roman"/>
                <w:b/>
                <w:lang w:eastAsia="en-GB"/>
              </w:rPr>
              <w:fldChar w:fldCharType="begin"/>
            </w:r>
            <w:r w:rsidRPr="00DE218A">
              <w:rPr>
                <w:rFonts w:ascii="Times New Roman" w:hAnsi="Times New Roman"/>
                <w:b/>
                <w:lang w:eastAsia="en-GB"/>
              </w:rPr>
              <w:instrText xml:space="preserve"> SEQ Figure \* ARABIC </w:instrText>
            </w:r>
            <w:r w:rsidRPr="00DE218A">
              <w:rPr>
                <w:rFonts w:ascii="Times New Roman" w:hAnsi="Times New Roman"/>
                <w:b/>
                <w:lang w:eastAsia="en-GB"/>
              </w:rPr>
              <w:fldChar w:fldCharType="separate"/>
            </w:r>
            <w:r w:rsidR="00CB2184">
              <w:rPr>
                <w:rFonts w:ascii="Times New Roman" w:hAnsi="Times New Roman"/>
                <w:b/>
                <w:noProof/>
                <w:lang w:eastAsia="en-GB"/>
              </w:rPr>
              <w:t>4</w:t>
            </w:r>
            <w:r w:rsidRPr="00DE218A">
              <w:rPr>
                <w:rFonts w:ascii="Times New Roman" w:hAnsi="Times New Roman"/>
                <w:b/>
                <w:lang w:eastAsia="en-GB"/>
              </w:rPr>
              <w:fldChar w:fldCharType="end"/>
            </w:r>
            <w:bookmarkEnd w:id="5"/>
            <w:r>
              <w:rPr>
                <w:rFonts w:ascii="Times New Roman" w:hAnsi="Times New Roman"/>
                <w:b/>
                <w:lang w:eastAsia="en-GB"/>
              </w:rPr>
              <w:t>.</w:t>
            </w:r>
            <w:r w:rsidRPr="00DE218A">
              <w:rPr>
                <w:rFonts w:ascii="Times New Roman" w:hAnsi="Times New Roman"/>
                <w:b/>
                <w:lang w:eastAsia="en-GB"/>
              </w:rPr>
              <w:t xml:space="preserve"> </w:t>
            </w:r>
            <w:r w:rsidRPr="00DE218A">
              <w:rPr>
                <w:rFonts w:ascii="Times New Roman" w:hAnsi="Times New Roman"/>
                <w:bCs/>
                <w:lang w:eastAsia="en-GB"/>
              </w:rPr>
              <w:t>Visualization</w:t>
            </w:r>
            <w:r w:rsidR="009D0762">
              <w:rPr>
                <w:rFonts w:ascii="Times New Roman" w:hAnsi="Times New Roman"/>
                <w:bCs/>
                <w:lang w:eastAsia="en-GB"/>
              </w:rPr>
              <w:t xml:space="preserve"> of</w:t>
            </w:r>
            <w:r w:rsidRPr="00DE218A">
              <w:rPr>
                <w:rFonts w:ascii="Times New Roman" w:hAnsi="Times New Roman"/>
                <w:bCs/>
                <w:lang w:eastAsia="en-GB"/>
              </w:rPr>
              <w:t xml:space="preserve"> inlet temperature during model evaluation</w:t>
            </w:r>
            <w:r>
              <w:rPr>
                <w:rFonts w:ascii="Times New Roman" w:hAnsi="Times New Roman"/>
                <w:bCs/>
                <w:lang w:eastAsia="en-GB"/>
              </w:rPr>
              <w:t>.</w:t>
            </w:r>
          </w:p>
        </w:tc>
      </w:tr>
    </w:tbl>
    <w:p w14:paraId="60A5D81B" w14:textId="77777777" w:rsidR="00AF4AAC" w:rsidRDefault="00AF4AAC" w:rsidP="009813CE"/>
    <w:p w14:paraId="56173F00" w14:textId="4F1A0690" w:rsidR="00FE12B4" w:rsidRDefault="009813CE" w:rsidP="0029380D">
      <w:pPr>
        <w:rPr>
          <w:lang w:val="en-US"/>
        </w:rPr>
      </w:pPr>
      <w:r w:rsidRPr="006A4DCD">
        <w:fldChar w:fldCharType="begin"/>
      </w:r>
      <w:r w:rsidRPr="006A4DCD">
        <w:instrText xml:space="preserve"> REF _Ref143772202 \h </w:instrText>
      </w:r>
      <w:r w:rsidR="006A4DCD" w:rsidRPr="006A4DCD">
        <w:instrText xml:space="preserve"> \* MERGEFORMAT </w:instrText>
      </w:r>
      <w:r w:rsidRPr="006A4DCD">
        <w:fldChar w:fldCharType="separate"/>
      </w:r>
      <w:r w:rsidR="00CB2184" w:rsidRPr="006A4DCD">
        <w:rPr>
          <w:rFonts w:ascii="Times New Roman" w:hAnsi="Times New Roman"/>
          <w:lang w:eastAsia="en-GB"/>
        </w:rPr>
        <w:t xml:space="preserve">Table </w:t>
      </w:r>
      <w:r w:rsidR="00CB2184" w:rsidRPr="006A4DCD">
        <w:rPr>
          <w:rFonts w:ascii="Times New Roman" w:hAnsi="Times New Roman"/>
          <w:noProof/>
          <w:lang w:eastAsia="en-GB"/>
        </w:rPr>
        <w:t>3</w:t>
      </w:r>
      <w:r w:rsidRPr="006A4DCD">
        <w:fldChar w:fldCharType="end"/>
      </w:r>
      <w:r w:rsidRPr="006A4DCD">
        <w:t xml:space="preserve"> </w:t>
      </w:r>
      <w:r>
        <w:t xml:space="preserve">and </w:t>
      </w:r>
      <w:r w:rsidRPr="00111186">
        <w:fldChar w:fldCharType="begin"/>
      </w:r>
      <w:r w:rsidRPr="00111186">
        <w:instrText xml:space="preserve"> REF _Ref143772191 \h </w:instrText>
      </w:r>
      <w:r w:rsidR="00111186" w:rsidRPr="00111186">
        <w:instrText xml:space="preserve"> \* MERGEFORMAT </w:instrText>
      </w:r>
      <w:r w:rsidRPr="00111186">
        <w:fldChar w:fldCharType="separate"/>
      </w:r>
      <w:r w:rsidR="00CB2184" w:rsidRPr="00CB2184">
        <w:rPr>
          <w:rFonts w:ascii="Times New Roman" w:hAnsi="Times New Roman"/>
          <w:lang w:eastAsia="en-GB"/>
        </w:rPr>
        <w:t xml:space="preserve">Figure </w:t>
      </w:r>
      <w:r w:rsidR="00CB2184" w:rsidRPr="00CB2184">
        <w:rPr>
          <w:rFonts w:ascii="Times New Roman" w:hAnsi="Times New Roman"/>
          <w:noProof/>
          <w:lang w:eastAsia="en-GB"/>
        </w:rPr>
        <w:t>5</w:t>
      </w:r>
      <w:r w:rsidRPr="00111186">
        <w:fldChar w:fldCharType="end"/>
      </w:r>
      <w:r w:rsidRPr="00111186">
        <w:t xml:space="preserve"> document</w:t>
      </w:r>
      <w:r w:rsidRPr="00FA3265">
        <w:t xml:space="preserve"> the </w:t>
      </w:r>
      <w:r w:rsidR="000F3C2E">
        <w:t>error calculations and predictions</w:t>
      </w:r>
      <w:r w:rsidRPr="00FA3265">
        <w:t xml:space="preserve"> when the trained model was applied to the data series from August 2023.</w:t>
      </w:r>
      <w:r w:rsidR="0029380D">
        <w:t xml:space="preserve"> </w:t>
      </w:r>
      <w:r w:rsidR="00AF4AAC" w:rsidRPr="009E172A">
        <w:rPr>
          <w:lang w:val="en-US"/>
        </w:rPr>
        <w:t>The model's predictions for this secondary test set are</w:t>
      </w:r>
      <w:r w:rsidR="00AF4AAC">
        <w:rPr>
          <w:lang w:val="en-US"/>
        </w:rPr>
        <w:t xml:space="preserve"> more than</w:t>
      </w:r>
      <w:r w:rsidR="00AF4AAC" w:rsidRPr="009E172A">
        <w:rPr>
          <w:lang w:val="en-US"/>
        </w:rPr>
        <w:t xml:space="preserve"> acceptable, closely matching the </w:t>
      </w:r>
      <w:r w:rsidR="00AF4AAC">
        <w:rPr>
          <w:lang w:val="en-US"/>
        </w:rPr>
        <w:t xml:space="preserve">results </w:t>
      </w:r>
      <w:r w:rsidR="00AF4AAC" w:rsidRPr="009E172A">
        <w:rPr>
          <w:lang w:val="en-US"/>
        </w:rPr>
        <w:t>observed with the original test set. The most pronounced discrepancies occur when the gas cooler inlet temperatures change rapidly, leading the inlet temperature to oscillate before stabilizing in a new state.</w:t>
      </w:r>
    </w:p>
    <w:p w14:paraId="3EA74EE0" w14:textId="77777777" w:rsidR="00D20F5E" w:rsidRDefault="00D20F5E">
      <w:r>
        <w:br w:type="page"/>
      </w: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382"/>
        <w:gridCol w:w="1382"/>
        <w:gridCol w:w="1382"/>
        <w:gridCol w:w="1382"/>
      </w:tblGrid>
      <w:tr w:rsidR="0029380D" w:rsidRPr="00BA5027" w14:paraId="1AEB091B" w14:textId="77777777" w:rsidTr="002772BE">
        <w:trPr>
          <w:trHeight w:val="70"/>
          <w:jc w:val="center"/>
        </w:trPr>
        <w:tc>
          <w:tcPr>
            <w:tcW w:w="7371" w:type="dxa"/>
            <w:gridSpan w:val="5"/>
            <w:tcBorders>
              <w:top w:val="nil"/>
              <w:bottom w:val="single" w:sz="4" w:space="0" w:color="auto"/>
            </w:tcBorders>
            <w:vAlign w:val="center"/>
          </w:tcPr>
          <w:p w14:paraId="54D8C42E" w14:textId="037BC7A9" w:rsidR="0029380D" w:rsidRDefault="00FE12B4" w:rsidP="00041812">
            <w:pPr>
              <w:spacing w:after="160" w:line="259" w:lineRule="auto"/>
              <w:jc w:val="center"/>
              <w:rPr>
                <w:lang w:val="en-US"/>
              </w:rPr>
            </w:pPr>
            <w:r>
              <w:rPr>
                <w:lang w:val="en-US"/>
              </w:rPr>
              <w:lastRenderedPageBreak/>
              <w:br w:type="page"/>
            </w:r>
            <w:bookmarkStart w:id="6" w:name="_Ref143772202"/>
            <w:r w:rsidR="000A0094">
              <w:rPr>
                <w:lang w:val="en-US"/>
              </w:rPr>
              <w:br/>
            </w:r>
            <w:r w:rsidR="0029380D" w:rsidRPr="00DC1F43">
              <w:rPr>
                <w:rFonts w:ascii="Times New Roman" w:hAnsi="Times New Roman"/>
                <w:b/>
                <w:lang w:eastAsia="en-GB"/>
              </w:rPr>
              <w:t xml:space="preserve">Table </w:t>
            </w:r>
            <w:r w:rsidR="0029380D" w:rsidRPr="00DC1F43">
              <w:rPr>
                <w:rFonts w:ascii="Times New Roman" w:hAnsi="Times New Roman"/>
                <w:b/>
                <w:lang w:eastAsia="en-GB"/>
              </w:rPr>
              <w:fldChar w:fldCharType="begin"/>
            </w:r>
            <w:r w:rsidR="0029380D" w:rsidRPr="00DC1F43">
              <w:rPr>
                <w:rFonts w:ascii="Times New Roman" w:hAnsi="Times New Roman"/>
                <w:b/>
                <w:lang w:eastAsia="en-GB"/>
              </w:rPr>
              <w:instrText xml:space="preserve"> SEQ Table \* ARABIC </w:instrText>
            </w:r>
            <w:r w:rsidR="0029380D" w:rsidRPr="00DC1F43">
              <w:rPr>
                <w:rFonts w:ascii="Times New Roman" w:hAnsi="Times New Roman"/>
                <w:b/>
                <w:lang w:eastAsia="en-GB"/>
              </w:rPr>
              <w:fldChar w:fldCharType="separate"/>
            </w:r>
            <w:r w:rsidR="00CB2184">
              <w:rPr>
                <w:rFonts w:ascii="Times New Roman" w:hAnsi="Times New Roman"/>
                <w:b/>
                <w:noProof/>
                <w:lang w:eastAsia="en-GB"/>
              </w:rPr>
              <w:t>3</w:t>
            </w:r>
            <w:r w:rsidR="0029380D" w:rsidRPr="00DC1F43">
              <w:rPr>
                <w:rFonts w:ascii="Times New Roman" w:hAnsi="Times New Roman"/>
                <w:b/>
                <w:lang w:eastAsia="en-GB"/>
              </w:rPr>
              <w:fldChar w:fldCharType="end"/>
            </w:r>
            <w:bookmarkEnd w:id="6"/>
            <w:r w:rsidR="0029380D">
              <w:rPr>
                <w:rFonts w:ascii="Times New Roman" w:hAnsi="Times New Roman"/>
                <w:b/>
                <w:lang w:eastAsia="en-GB"/>
              </w:rPr>
              <w:t>.</w:t>
            </w:r>
            <w:r w:rsidR="0029380D" w:rsidRPr="00DC1F43">
              <w:rPr>
                <w:rFonts w:ascii="Times New Roman" w:hAnsi="Times New Roman"/>
                <w:b/>
                <w:lang w:eastAsia="en-GB"/>
              </w:rPr>
              <w:t xml:space="preserve">  </w:t>
            </w:r>
            <w:r w:rsidR="0029380D" w:rsidRPr="00DC1F43">
              <w:rPr>
                <w:rFonts w:ascii="Times New Roman" w:hAnsi="Times New Roman"/>
                <w:bCs/>
                <w:lang w:eastAsia="en-GB"/>
              </w:rPr>
              <w:t>Evaluation of model error over the unseen dat</w:t>
            </w:r>
            <w:r w:rsidR="0029380D">
              <w:rPr>
                <w:rFonts w:ascii="Times New Roman" w:hAnsi="Times New Roman"/>
                <w:bCs/>
                <w:lang w:eastAsia="en-GB"/>
              </w:rPr>
              <w:t>a</w:t>
            </w:r>
            <w:r w:rsidR="0029380D" w:rsidRPr="00DC1F43">
              <w:rPr>
                <w:rFonts w:ascii="Times New Roman" w:hAnsi="Times New Roman"/>
                <w:bCs/>
                <w:lang w:eastAsia="en-GB"/>
              </w:rPr>
              <w:t>, August 2023</w:t>
            </w:r>
            <w:r w:rsidR="0029380D">
              <w:rPr>
                <w:rFonts w:ascii="Times New Roman" w:hAnsi="Times New Roman"/>
                <w:bCs/>
                <w:lang w:eastAsia="en-GB"/>
              </w:rPr>
              <w:t>.</w:t>
            </w:r>
          </w:p>
        </w:tc>
      </w:tr>
      <w:tr w:rsidR="0029380D" w:rsidRPr="00BA5027" w14:paraId="487E3682" w14:textId="77777777" w:rsidTr="002772BE">
        <w:trPr>
          <w:trHeight w:val="70"/>
          <w:jc w:val="center"/>
        </w:trPr>
        <w:tc>
          <w:tcPr>
            <w:tcW w:w="1843" w:type="dxa"/>
            <w:tcBorders>
              <w:top w:val="single" w:sz="4" w:space="0" w:color="auto"/>
            </w:tcBorders>
            <w:vAlign w:val="center"/>
          </w:tcPr>
          <w:p w14:paraId="45C915F8" w14:textId="77777777" w:rsidR="0029380D" w:rsidRDefault="0029380D" w:rsidP="002772BE">
            <w:pPr>
              <w:pStyle w:val="TableCaptionCentred"/>
              <w:rPr>
                <w:lang w:val="en-US"/>
              </w:rPr>
            </w:pPr>
          </w:p>
        </w:tc>
        <w:tc>
          <w:tcPr>
            <w:tcW w:w="1382" w:type="dxa"/>
            <w:tcBorders>
              <w:top w:val="single" w:sz="4" w:space="0" w:color="auto"/>
              <w:bottom w:val="single" w:sz="4" w:space="0" w:color="auto"/>
            </w:tcBorders>
            <w:vAlign w:val="center"/>
          </w:tcPr>
          <w:p w14:paraId="4E5C97AB" w14:textId="77777777" w:rsidR="0029380D" w:rsidRPr="00BA5027" w:rsidRDefault="0029380D" w:rsidP="002772BE">
            <w:pPr>
              <w:spacing w:after="160" w:line="259" w:lineRule="auto"/>
              <w:jc w:val="center"/>
              <w:rPr>
                <w:lang w:val="en-US"/>
              </w:rPr>
            </w:pPr>
            <w:r>
              <w:rPr>
                <w:lang w:val="en-US"/>
              </w:rPr>
              <w:t>Max Error</w:t>
            </w:r>
          </w:p>
        </w:tc>
        <w:tc>
          <w:tcPr>
            <w:tcW w:w="1382" w:type="dxa"/>
            <w:tcBorders>
              <w:top w:val="single" w:sz="4" w:space="0" w:color="auto"/>
              <w:bottom w:val="single" w:sz="4" w:space="0" w:color="auto"/>
            </w:tcBorders>
            <w:vAlign w:val="center"/>
          </w:tcPr>
          <w:p w14:paraId="51336D63" w14:textId="77777777" w:rsidR="0029380D" w:rsidRPr="00BA5027" w:rsidRDefault="0029380D" w:rsidP="002772BE">
            <w:pPr>
              <w:spacing w:after="160" w:line="259" w:lineRule="auto"/>
              <w:jc w:val="center"/>
              <w:rPr>
                <w:lang w:val="en-US"/>
              </w:rPr>
            </w:pPr>
            <w:r>
              <w:rPr>
                <w:lang w:val="en-US"/>
              </w:rPr>
              <w:t>MAE</w:t>
            </w:r>
          </w:p>
        </w:tc>
        <w:tc>
          <w:tcPr>
            <w:tcW w:w="1382" w:type="dxa"/>
            <w:tcBorders>
              <w:top w:val="single" w:sz="4" w:space="0" w:color="auto"/>
              <w:bottom w:val="single" w:sz="4" w:space="0" w:color="auto"/>
            </w:tcBorders>
            <w:vAlign w:val="center"/>
          </w:tcPr>
          <w:p w14:paraId="3CF848E1" w14:textId="77777777" w:rsidR="0029380D" w:rsidRPr="00BA5027" w:rsidRDefault="0029380D" w:rsidP="002772BE">
            <w:pPr>
              <w:spacing w:after="160" w:line="259" w:lineRule="auto"/>
              <w:jc w:val="center"/>
              <w:rPr>
                <w:lang w:val="en-US"/>
              </w:rPr>
            </w:pPr>
            <w:r>
              <w:rPr>
                <w:lang w:val="en-US"/>
              </w:rPr>
              <w:t>RSME</w:t>
            </w:r>
          </w:p>
        </w:tc>
        <w:tc>
          <w:tcPr>
            <w:tcW w:w="1382" w:type="dxa"/>
            <w:tcBorders>
              <w:top w:val="single" w:sz="4" w:space="0" w:color="auto"/>
              <w:bottom w:val="single" w:sz="4" w:space="0" w:color="auto"/>
            </w:tcBorders>
            <w:vAlign w:val="center"/>
          </w:tcPr>
          <w:p w14:paraId="1C10B862" w14:textId="77777777" w:rsidR="0029380D" w:rsidRPr="00BA5027" w:rsidRDefault="0029380D" w:rsidP="002772BE">
            <w:pPr>
              <w:spacing w:after="160" w:line="259" w:lineRule="auto"/>
              <w:jc w:val="center"/>
              <w:rPr>
                <w:lang w:val="en-US"/>
              </w:rPr>
            </w:pPr>
            <w:r>
              <w:rPr>
                <w:lang w:val="en-US"/>
              </w:rPr>
              <w:t>MAPE [%]</w:t>
            </w:r>
          </w:p>
        </w:tc>
      </w:tr>
      <w:tr w:rsidR="0029380D" w:rsidRPr="00BA5027" w14:paraId="1D9943C7" w14:textId="77777777" w:rsidTr="002772BE">
        <w:trPr>
          <w:trHeight w:val="327"/>
          <w:jc w:val="center"/>
        </w:trPr>
        <w:tc>
          <w:tcPr>
            <w:tcW w:w="1843" w:type="dxa"/>
            <w:vAlign w:val="center"/>
            <w:hideMark/>
          </w:tcPr>
          <w:p w14:paraId="2CFDE7D4" w14:textId="77777777" w:rsidR="0029380D" w:rsidRPr="00BA5027" w:rsidRDefault="00E10DAD" w:rsidP="002772BE">
            <w:pPr>
              <w:spacing w:after="160" w:line="259" w:lineRule="auto"/>
              <w:jc w:val="center"/>
              <w:rPr>
                <w:lang w:val="en-US"/>
              </w:rPr>
            </w:pP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out</m:t>
                  </m:r>
                  <m:r>
                    <m:rPr>
                      <m:sty m:val="p"/>
                    </m:rPr>
                    <w:rPr>
                      <w:rFonts w:ascii="Cambria Math" w:hAnsi="Cambria Math"/>
                      <w:lang w:val="en-US"/>
                    </w:rPr>
                    <m:t xml:space="preserve">, </m:t>
                  </m:r>
                  <m:r>
                    <w:rPr>
                      <w:rFonts w:ascii="Cambria Math" w:hAnsi="Cambria Math"/>
                      <w:lang w:val="en-US"/>
                    </w:rPr>
                    <m:t>GC</m:t>
                  </m:r>
                  <m:r>
                    <m:rPr>
                      <m:sty m:val="p"/>
                    </m:rPr>
                    <w:rPr>
                      <w:rFonts w:ascii="Cambria Math" w:hAnsi="Cambria Math"/>
                      <w:lang w:val="en-US"/>
                    </w:rPr>
                    <m:t>-</m:t>
                  </m:r>
                  <m:r>
                    <w:rPr>
                      <w:rFonts w:ascii="Cambria Math" w:hAnsi="Cambria Math"/>
                      <w:lang w:val="en-US"/>
                    </w:rPr>
                    <m:t>HT</m:t>
                  </m:r>
                </m:sub>
              </m:sSub>
            </m:oMath>
            <w:r w:rsidR="0029380D">
              <w:rPr>
                <w:lang w:val="en-US"/>
              </w:rPr>
              <w:t xml:space="preserve"> [°C]</w:t>
            </w:r>
          </w:p>
        </w:tc>
        <w:tc>
          <w:tcPr>
            <w:tcW w:w="1382" w:type="dxa"/>
            <w:tcBorders>
              <w:top w:val="single" w:sz="4" w:space="0" w:color="auto"/>
            </w:tcBorders>
          </w:tcPr>
          <w:p w14:paraId="23B37840" w14:textId="77777777" w:rsidR="0029380D" w:rsidRPr="00BA5027" w:rsidRDefault="0029380D" w:rsidP="002772BE">
            <w:pPr>
              <w:spacing w:after="160" w:line="259" w:lineRule="auto"/>
              <w:jc w:val="center"/>
              <w:rPr>
                <w:lang w:val="en-US"/>
              </w:rPr>
            </w:pPr>
            <w:r w:rsidRPr="00C8412A">
              <w:t>5.90</w:t>
            </w:r>
          </w:p>
        </w:tc>
        <w:tc>
          <w:tcPr>
            <w:tcW w:w="1382" w:type="dxa"/>
            <w:tcBorders>
              <w:top w:val="single" w:sz="4" w:space="0" w:color="auto"/>
            </w:tcBorders>
          </w:tcPr>
          <w:p w14:paraId="3718E69F" w14:textId="77777777" w:rsidR="0029380D" w:rsidRPr="00BA5027" w:rsidRDefault="0029380D" w:rsidP="002772BE">
            <w:pPr>
              <w:spacing w:after="160" w:line="259" w:lineRule="auto"/>
              <w:jc w:val="center"/>
              <w:rPr>
                <w:lang w:val="en-US"/>
              </w:rPr>
            </w:pPr>
            <w:r w:rsidRPr="00C8412A">
              <w:t>0.50</w:t>
            </w:r>
          </w:p>
        </w:tc>
        <w:tc>
          <w:tcPr>
            <w:tcW w:w="1382" w:type="dxa"/>
            <w:tcBorders>
              <w:top w:val="single" w:sz="4" w:space="0" w:color="auto"/>
            </w:tcBorders>
          </w:tcPr>
          <w:p w14:paraId="51544484" w14:textId="77777777" w:rsidR="0029380D" w:rsidRPr="00BA5027" w:rsidRDefault="0029380D" w:rsidP="002772BE">
            <w:pPr>
              <w:spacing w:after="160" w:line="259" w:lineRule="auto"/>
              <w:jc w:val="center"/>
              <w:rPr>
                <w:lang w:val="en-US"/>
              </w:rPr>
            </w:pPr>
            <w:r w:rsidRPr="00C8412A">
              <w:t>0.61</w:t>
            </w:r>
          </w:p>
        </w:tc>
        <w:tc>
          <w:tcPr>
            <w:tcW w:w="1382" w:type="dxa"/>
            <w:tcBorders>
              <w:top w:val="single" w:sz="4" w:space="0" w:color="auto"/>
            </w:tcBorders>
          </w:tcPr>
          <w:p w14:paraId="28D5653B" w14:textId="77777777" w:rsidR="0029380D" w:rsidRPr="00BA5027" w:rsidRDefault="0029380D" w:rsidP="002772BE">
            <w:pPr>
              <w:spacing w:after="160" w:line="259" w:lineRule="auto"/>
              <w:jc w:val="center"/>
              <w:rPr>
                <w:lang w:val="en-US"/>
              </w:rPr>
            </w:pPr>
            <w:r w:rsidRPr="00C8412A">
              <w:t>0.8 %</w:t>
            </w:r>
          </w:p>
        </w:tc>
      </w:tr>
      <w:tr w:rsidR="0029380D" w:rsidRPr="00BA5027" w14:paraId="5807024B" w14:textId="77777777" w:rsidTr="002772BE">
        <w:trPr>
          <w:jc w:val="center"/>
        </w:trPr>
        <w:tc>
          <w:tcPr>
            <w:tcW w:w="1843" w:type="dxa"/>
            <w:vAlign w:val="center"/>
            <w:hideMark/>
          </w:tcPr>
          <w:p w14:paraId="1BC9FDBD" w14:textId="77777777" w:rsidR="0029380D" w:rsidRPr="00BA5027" w:rsidRDefault="00E10DAD" w:rsidP="002772BE">
            <w:pPr>
              <w:spacing w:after="160" w:line="259" w:lineRule="auto"/>
              <w:jc w:val="center"/>
              <w:rPr>
                <w:lang w:val="en-US"/>
              </w:rPr>
            </w:pP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out</m:t>
                  </m:r>
                  <m:r>
                    <m:rPr>
                      <m:sty m:val="p"/>
                    </m:rPr>
                    <w:rPr>
                      <w:rFonts w:ascii="Cambria Math" w:hAnsi="Cambria Math"/>
                      <w:lang w:val="en-US"/>
                    </w:rPr>
                    <m:t xml:space="preserve">, </m:t>
                  </m:r>
                  <m:r>
                    <w:rPr>
                      <w:rFonts w:ascii="Cambria Math" w:hAnsi="Cambria Math"/>
                      <w:lang w:val="en-US"/>
                    </w:rPr>
                    <m:t>GC</m:t>
                  </m:r>
                  <m:r>
                    <m:rPr>
                      <m:sty m:val="p"/>
                    </m:rPr>
                    <w:rPr>
                      <w:rFonts w:ascii="Cambria Math" w:hAnsi="Cambria Math"/>
                      <w:lang w:val="en-US"/>
                    </w:rPr>
                    <m:t>-</m:t>
                  </m:r>
                  <m:r>
                    <w:rPr>
                      <w:rFonts w:ascii="Cambria Math" w:hAnsi="Cambria Math"/>
                      <w:lang w:val="en-US"/>
                    </w:rPr>
                    <m:t>LT</m:t>
                  </m:r>
                </m:sub>
              </m:sSub>
            </m:oMath>
            <w:r w:rsidR="0029380D">
              <w:rPr>
                <w:lang w:val="en-US"/>
              </w:rPr>
              <w:t xml:space="preserve"> [°C]</w:t>
            </w:r>
          </w:p>
        </w:tc>
        <w:tc>
          <w:tcPr>
            <w:tcW w:w="1382" w:type="dxa"/>
          </w:tcPr>
          <w:p w14:paraId="2F180A56" w14:textId="77777777" w:rsidR="0029380D" w:rsidRPr="00BA5027" w:rsidRDefault="0029380D" w:rsidP="002772BE">
            <w:pPr>
              <w:spacing w:after="160" w:line="259" w:lineRule="auto"/>
              <w:jc w:val="center"/>
              <w:rPr>
                <w:lang w:val="en-US"/>
              </w:rPr>
            </w:pPr>
            <w:r w:rsidRPr="00C8412A">
              <w:t>2.62</w:t>
            </w:r>
          </w:p>
        </w:tc>
        <w:tc>
          <w:tcPr>
            <w:tcW w:w="1382" w:type="dxa"/>
          </w:tcPr>
          <w:p w14:paraId="48515471" w14:textId="77777777" w:rsidR="0029380D" w:rsidRPr="00BA5027" w:rsidRDefault="0029380D" w:rsidP="002772BE">
            <w:pPr>
              <w:spacing w:after="160" w:line="259" w:lineRule="auto"/>
              <w:jc w:val="center"/>
              <w:rPr>
                <w:lang w:val="en-US"/>
              </w:rPr>
            </w:pPr>
            <w:r w:rsidRPr="00C8412A">
              <w:t>0.29</w:t>
            </w:r>
          </w:p>
        </w:tc>
        <w:tc>
          <w:tcPr>
            <w:tcW w:w="1382" w:type="dxa"/>
          </w:tcPr>
          <w:p w14:paraId="73214CAA" w14:textId="77777777" w:rsidR="0029380D" w:rsidRPr="00BA5027" w:rsidRDefault="0029380D" w:rsidP="002772BE">
            <w:pPr>
              <w:spacing w:after="160" w:line="259" w:lineRule="auto"/>
              <w:jc w:val="center"/>
              <w:rPr>
                <w:lang w:val="en-US"/>
              </w:rPr>
            </w:pPr>
            <w:r w:rsidRPr="00C8412A">
              <w:t>0.42</w:t>
            </w:r>
          </w:p>
        </w:tc>
        <w:tc>
          <w:tcPr>
            <w:tcW w:w="1382" w:type="dxa"/>
          </w:tcPr>
          <w:p w14:paraId="5F86F8E3" w14:textId="77777777" w:rsidR="0029380D" w:rsidRPr="00BA5027" w:rsidRDefault="0029380D" w:rsidP="002772BE">
            <w:pPr>
              <w:spacing w:after="160" w:line="259" w:lineRule="auto"/>
              <w:jc w:val="center"/>
              <w:rPr>
                <w:lang w:val="en-US"/>
              </w:rPr>
            </w:pPr>
            <w:r w:rsidRPr="00C8412A">
              <w:t>0.7 %</w:t>
            </w:r>
          </w:p>
        </w:tc>
      </w:tr>
      <w:tr w:rsidR="0029380D" w:rsidRPr="00BA5027" w14:paraId="781E8E93" w14:textId="77777777" w:rsidTr="002772BE">
        <w:trPr>
          <w:jc w:val="center"/>
        </w:trPr>
        <w:tc>
          <w:tcPr>
            <w:tcW w:w="1843" w:type="dxa"/>
            <w:vAlign w:val="center"/>
            <w:hideMark/>
          </w:tcPr>
          <w:p w14:paraId="1FEFCB51" w14:textId="77777777" w:rsidR="0029380D" w:rsidRPr="00BA5027" w:rsidRDefault="00E10DAD" w:rsidP="002772BE">
            <w:pPr>
              <w:spacing w:after="160" w:line="259" w:lineRule="auto"/>
              <w:jc w:val="center"/>
              <w:rPr>
                <w:lang w:val="en-US"/>
              </w:rPr>
            </w:pP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out</m:t>
                  </m:r>
                  <m:r>
                    <m:rPr>
                      <m:sty m:val="p"/>
                    </m:rPr>
                    <w:rPr>
                      <w:rFonts w:ascii="Cambria Math" w:hAnsi="Cambria Math"/>
                      <w:lang w:val="en-US"/>
                    </w:rPr>
                    <m:t xml:space="preserve">, </m:t>
                  </m:r>
                  <m:r>
                    <w:rPr>
                      <w:rFonts w:ascii="Cambria Math" w:hAnsi="Cambria Math"/>
                      <w:lang w:val="en-US"/>
                    </w:rPr>
                    <m:t>EVP</m:t>
                  </m:r>
                </m:sub>
              </m:sSub>
            </m:oMath>
            <w:r w:rsidR="0029380D">
              <w:rPr>
                <w:lang w:val="en-US"/>
              </w:rPr>
              <w:t xml:space="preserve"> [°C]</w:t>
            </w:r>
          </w:p>
        </w:tc>
        <w:tc>
          <w:tcPr>
            <w:tcW w:w="1382" w:type="dxa"/>
          </w:tcPr>
          <w:p w14:paraId="4D57B49F" w14:textId="77777777" w:rsidR="0029380D" w:rsidRPr="00BA5027" w:rsidRDefault="0029380D" w:rsidP="002772BE">
            <w:pPr>
              <w:spacing w:after="160" w:line="259" w:lineRule="auto"/>
              <w:jc w:val="center"/>
              <w:rPr>
                <w:lang w:val="en-US"/>
              </w:rPr>
            </w:pPr>
            <w:r w:rsidRPr="00C8412A">
              <w:t>0.17</w:t>
            </w:r>
          </w:p>
        </w:tc>
        <w:tc>
          <w:tcPr>
            <w:tcW w:w="1382" w:type="dxa"/>
          </w:tcPr>
          <w:p w14:paraId="38B91B91" w14:textId="77777777" w:rsidR="0029380D" w:rsidRPr="00BA5027" w:rsidRDefault="0029380D" w:rsidP="002772BE">
            <w:pPr>
              <w:spacing w:after="160" w:line="259" w:lineRule="auto"/>
              <w:jc w:val="center"/>
              <w:rPr>
                <w:lang w:val="en-US"/>
              </w:rPr>
            </w:pPr>
            <w:r w:rsidRPr="00C8412A">
              <w:t>0.02</w:t>
            </w:r>
          </w:p>
        </w:tc>
        <w:tc>
          <w:tcPr>
            <w:tcW w:w="1382" w:type="dxa"/>
          </w:tcPr>
          <w:p w14:paraId="3063616B" w14:textId="77777777" w:rsidR="0029380D" w:rsidRPr="00BA5027" w:rsidRDefault="0029380D" w:rsidP="002772BE">
            <w:pPr>
              <w:spacing w:after="160" w:line="259" w:lineRule="auto"/>
              <w:jc w:val="center"/>
              <w:rPr>
                <w:lang w:val="en-US"/>
              </w:rPr>
            </w:pPr>
            <w:r w:rsidRPr="00C8412A">
              <w:t>0.03</w:t>
            </w:r>
          </w:p>
        </w:tc>
        <w:tc>
          <w:tcPr>
            <w:tcW w:w="1382" w:type="dxa"/>
          </w:tcPr>
          <w:p w14:paraId="6F9D143E" w14:textId="77777777" w:rsidR="0029380D" w:rsidRPr="00BA5027" w:rsidRDefault="0029380D" w:rsidP="002772BE">
            <w:pPr>
              <w:spacing w:after="160" w:line="259" w:lineRule="auto"/>
              <w:jc w:val="center"/>
              <w:rPr>
                <w:lang w:val="en-US"/>
              </w:rPr>
            </w:pPr>
            <w:r w:rsidRPr="00C8412A">
              <w:t>0.9 %</w:t>
            </w:r>
          </w:p>
        </w:tc>
      </w:tr>
      <w:tr w:rsidR="0029380D" w:rsidRPr="00BA5027" w14:paraId="7245B260" w14:textId="77777777" w:rsidTr="002772BE">
        <w:trPr>
          <w:jc w:val="center"/>
        </w:trPr>
        <w:tc>
          <w:tcPr>
            <w:tcW w:w="1843" w:type="dxa"/>
            <w:vAlign w:val="center"/>
            <w:hideMark/>
          </w:tcPr>
          <w:p w14:paraId="47508793" w14:textId="77777777" w:rsidR="0029380D" w:rsidRPr="00BA5027" w:rsidRDefault="00E10DAD" w:rsidP="002772BE">
            <w:pPr>
              <w:spacing w:after="160" w:line="259" w:lineRule="auto"/>
              <w:jc w:val="center"/>
              <w:rPr>
                <w:lang w:val="en-US"/>
              </w:rPr>
            </w:pPr>
            <m:oMath>
              <m:sSub>
                <m:sSubPr>
                  <m:ctrlPr>
                    <w:rPr>
                      <w:rFonts w:ascii="Cambria Math" w:hAnsi="Cambria Math"/>
                      <w:lang w:val="en-US"/>
                    </w:rPr>
                  </m:ctrlPr>
                </m:sSubPr>
                <m:e>
                  <m:r>
                    <w:rPr>
                      <w:rFonts w:ascii="Cambria Math" w:hAnsi="Cambria Math"/>
                      <w:lang w:val="en-US"/>
                    </w:rPr>
                    <m:t>Q</m:t>
                  </m:r>
                </m:e>
                <m:sub>
                  <m:r>
                    <w:rPr>
                      <w:rFonts w:ascii="Cambria Math" w:hAnsi="Cambria Math"/>
                      <w:lang w:val="en-US"/>
                    </w:rPr>
                    <m:t>HT</m:t>
                  </m:r>
                </m:sub>
              </m:sSub>
            </m:oMath>
            <w:r w:rsidR="0029380D">
              <w:rPr>
                <w:lang w:val="en-US"/>
              </w:rPr>
              <w:t xml:space="preserve"> [kW]</w:t>
            </w:r>
          </w:p>
        </w:tc>
        <w:tc>
          <w:tcPr>
            <w:tcW w:w="1382" w:type="dxa"/>
          </w:tcPr>
          <w:p w14:paraId="776DFB13" w14:textId="77777777" w:rsidR="0029380D" w:rsidRPr="00BA5027" w:rsidRDefault="0029380D" w:rsidP="002772BE">
            <w:pPr>
              <w:spacing w:after="160" w:line="259" w:lineRule="auto"/>
              <w:jc w:val="center"/>
              <w:rPr>
                <w:lang w:val="en-US"/>
              </w:rPr>
            </w:pPr>
            <w:r w:rsidRPr="00C8412A">
              <w:t>2.36</w:t>
            </w:r>
          </w:p>
        </w:tc>
        <w:tc>
          <w:tcPr>
            <w:tcW w:w="1382" w:type="dxa"/>
          </w:tcPr>
          <w:p w14:paraId="5145FE97" w14:textId="77777777" w:rsidR="0029380D" w:rsidRPr="00BA5027" w:rsidRDefault="0029380D" w:rsidP="002772BE">
            <w:pPr>
              <w:spacing w:after="160" w:line="259" w:lineRule="auto"/>
              <w:jc w:val="center"/>
              <w:rPr>
                <w:lang w:val="en-US"/>
              </w:rPr>
            </w:pPr>
            <w:r w:rsidRPr="00C8412A">
              <w:t>0.06</w:t>
            </w:r>
          </w:p>
        </w:tc>
        <w:tc>
          <w:tcPr>
            <w:tcW w:w="1382" w:type="dxa"/>
          </w:tcPr>
          <w:p w14:paraId="0544B5E9" w14:textId="77777777" w:rsidR="0029380D" w:rsidRPr="00BA5027" w:rsidRDefault="0029380D" w:rsidP="002772BE">
            <w:pPr>
              <w:spacing w:after="160" w:line="259" w:lineRule="auto"/>
              <w:jc w:val="center"/>
              <w:rPr>
                <w:lang w:val="en-US"/>
              </w:rPr>
            </w:pPr>
            <w:r w:rsidRPr="00C8412A">
              <w:t>0.10</w:t>
            </w:r>
          </w:p>
        </w:tc>
        <w:tc>
          <w:tcPr>
            <w:tcW w:w="1382" w:type="dxa"/>
          </w:tcPr>
          <w:p w14:paraId="380350F6" w14:textId="77777777" w:rsidR="0029380D" w:rsidRPr="00BA5027" w:rsidRDefault="0029380D" w:rsidP="002772BE">
            <w:pPr>
              <w:spacing w:after="160" w:line="259" w:lineRule="auto"/>
              <w:jc w:val="center"/>
              <w:rPr>
                <w:lang w:val="en-US"/>
              </w:rPr>
            </w:pPr>
            <w:r w:rsidRPr="00C8412A">
              <w:t>1.4 %</w:t>
            </w:r>
          </w:p>
        </w:tc>
      </w:tr>
      <w:tr w:rsidR="0029380D" w:rsidRPr="00BA5027" w14:paraId="0A119B94" w14:textId="77777777" w:rsidTr="002772BE">
        <w:trPr>
          <w:jc w:val="center"/>
        </w:trPr>
        <w:tc>
          <w:tcPr>
            <w:tcW w:w="1843" w:type="dxa"/>
            <w:tcBorders>
              <w:bottom w:val="nil"/>
            </w:tcBorders>
            <w:vAlign w:val="center"/>
            <w:hideMark/>
          </w:tcPr>
          <w:p w14:paraId="76D8F1E0" w14:textId="77777777" w:rsidR="0029380D" w:rsidRPr="00BA5027" w:rsidRDefault="00E10DAD" w:rsidP="002772BE">
            <w:pPr>
              <w:spacing w:after="160" w:line="259" w:lineRule="auto"/>
              <w:jc w:val="center"/>
              <w:rPr>
                <w:lang w:val="en-US"/>
              </w:rPr>
            </w:pPr>
            <m:oMath>
              <m:sSub>
                <m:sSubPr>
                  <m:ctrlPr>
                    <w:rPr>
                      <w:rFonts w:ascii="Cambria Math" w:hAnsi="Cambria Math"/>
                      <w:lang w:val="en-US"/>
                    </w:rPr>
                  </m:ctrlPr>
                </m:sSubPr>
                <m:e>
                  <m:r>
                    <w:rPr>
                      <w:rFonts w:ascii="Cambria Math" w:hAnsi="Cambria Math"/>
                      <w:lang w:val="en-US"/>
                    </w:rPr>
                    <m:t>Q</m:t>
                  </m:r>
                </m:e>
                <m:sub>
                  <m:r>
                    <w:rPr>
                      <w:rFonts w:ascii="Cambria Math" w:hAnsi="Cambria Math"/>
                      <w:lang w:val="en-US"/>
                    </w:rPr>
                    <m:t>LT</m:t>
                  </m:r>
                </m:sub>
              </m:sSub>
            </m:oMath>
            <w:r w:rsidR="0029380D">
              <w:rPr>
                <w:lang w:val="en-US"/>
              </w:rPr>
              <w:t xml:space="preserve"> [kW]</w:t>
            </w:r>
          </w:p>
        </w:tc>
        <w:tc>
          <w:tcPr>
            <w:tcW w:w="1382" w:type="dxa"/>
            <w:tcBorders>
              <w:bottom w:val="nil"/>
            </w:tcBorders>
          </w:tcPr>
          <w:p w14:paraId="7BC418E1" w14:textId="77777777" w:rsidR="0029380D" w:rsidRPr="00BA5027" w:rsidRDefault="0029380D" w:rsidP="002772BE">
            <w:pPr>
              <w:spacing w:after="160" w:line="259" w:lineRule="auto"/>
              <w:jc w:val="center"/>
              <w:rPr>
                <w:lang w:val="en-US"/>
              </w:rPr>
            </w:pPr>
            <w:r w:rsidRPr="00C8412A">
              <w:t>1.97</w:t>
            </w:r>
          </w:p>
        </w:tc>
        <w:tc>
          <w:tcPr>
            <w:tcW w:w="1382" w:type="dxa"/>
            <w:tcBorders>
              <w:bottom w:val="nil"/>
            </w:tcBorders>
          </w:tcPr>
          <w:p w14:paraId="2CFB6F58" w14:textId="77777777" w:rsidR="0029380D" w:rsidRPr="00BA5027" w:rsidRDefault="0029380D" w:rsidP="002772BE">
            <w:pPr>
              <w:spacing w:after="160" w:line="259" w:lineRule="auto"/>
              <w:jc w:val="center"/>
              <w:rPr>
                <w:lang w:val="en-US"/>
              </w:rPr>
            </w:pPr>
            <w:r w:rsidRPr="00C8412A">
              <w:t>0.14</w:t>
            </w:r>
          </w:p>
        </w:tc>
        <w:tc>
          <w:tcPr>
            <w:tcW w:w="1382" w:type="dxa"/>
            <w:tcBorders>
              <w:bottom w:val="nil"/>
            </w:tcBorders>
          </w:tcPr>
          <w:p w14:paraId="44EB4355" w14:textId="77777777" w:rsidR="0029380D" w:rsidRPr="00BA5027" w:rsidRDefault="0029380D" w:rsidP="002772BE">
            <w:pPr>
              <w:spacing w:after="160" w:line="259" w:lineRule="auto"/>
              <w:jc w:val="center"/>
              <w:rPr>
                <w:lang w:val="en-US"/>
              </w:rPr>
            </w:pPr>
            <w:r w:rsidRPr="00C8412A">
              <w:t>0.18</w:t>
            </w:r>
          </w:p>
        </w:tc>
        <w:tc>
          <w:tcPr>
            <w:tcW w:w="1382" w:type="dxa"/>
            <w:tcBorders>
              <w:bottom w:val="nil"/>
            </w:tcBorders>
          </w:tcPr>
          <w:p w14:paraId="1082EED8" w14:textId="77777777" w:rsidR="0029380D" w:rsidRPr="00BA5027" w:rsidRDefault="0029380D" w:rsidP="002772BE">
            <w:pPr>
              <w:spacing w:after="160" w:line="259" w:lineRule="auto"/>
              <w:jc w:val="center"/>
              <w:rPr>
                <w:lang w:val="en-US"/>
              </w:rPr>
            </w:pPr>
            <w:r w:rsidRPr="00C8412A">
              <w:t>1.1 %</w:t>
            </w:r>
          </w:p>
        </w:tc>
      </w:tr>
      <w:tr w:rsidR="0029380D" w:rsidRPr="00BA5027" w14:paraId="55F77737" w14:textId="77777777" w:rsidTr="002772BE">
        <w:trPr>
          <w:trHeight w:val="95"/>
          <w:jc w:val="center"/>
        </w:trPr>
        <w:tc>
          <w:tcPr>
            <w:tcW w:w="1843" w:type="dxa"/>
            <w:tcBorders>
              <w:top w:val="nil"/>
              <w:bottom w:val="single" w:sz="4" w:space="0" w:color="auto"/>
            </w:tcBorders>
            <w:vAlign w:val="center"/>
            <w:hideMark/>
          </w:tcPr>
          <w:p w14:paraId="608A3EB3" w14:textId="77777777" w:rsidR="0029380D" w:rsidRPr="00BA5027" w:rsidRDefault="00E10DAD" w:rsidP="002772BE">
            <w:pPr>
              <w:spacing w:after="160" w:line="259" w:lineRule="auto"/>
              <w:jc w:val="center"/>
              <w:rPr>
                <w:lang w:val="en-US"/>
              </w:rPr>
            </w:pP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HP</m:t>
                  </m:r>
                </m:sub>
              </m:sSub>
            </m:oMath>
            <w:r w:rsidR="0029380D">
              <w:rPr>
                <w:lang w:val="en-US"/>
              </w:rPr>
              <w:t xml:space="preserve"> [kW]</w:t>
            </w:r>
          </w:p>
        </w:tc>
        <w:tc>
          <w:tcPr>
            <w:tcW w:w="1382" w:type="dxa"/>
            <w:tcBorders>
              <w:top w:val="nil"/>
              <w:bottom w:val="single" w:sz="4" w:space="0" w:color="auto"/>
            </w:tcBorders>
          </w:tcPr>
          <w:p w14:paraId="3294533D" w14:textId="77777777" w:rsidR="0029380D" w:rsidRPr="00BA5027" w:rsidRDefault="0029380D" w:rsidP="002772BE">
            <w:pPr>
              <w:spacing w:after="160" w:line="259" w:lineRule="auto"/>
              <w:jc w:val="center"/>
              <w:rPr>
                <w:lang w:val="en-US"/>
              </w:rPr>
            </w:pPr>
            <w:r w:rsidRPr="00C8412A">
              <w:t>0.17</w:t>
            </w:r>
          </w:p>
        </w:tc>
        <w:tc>
          <w:tcPr>
            <w:tcW w:w="1382" w:type="dxa"/>
            <w:tcBorders>
              <w:top w:val="nil"/>
              <w:bottom w:val="single" w:sz="4" w:space="0" w:color="auto"/>
            </w:tcBorders>
          </w:tcPr>
          <w:p w14:paraId="7F4A0873" w14:textId="77777777" w:rsidR="0029380D" w:rsidRPr="00BA5027" w:rsidRDefault="0029380D" w:rsidP="002772BE">
            <w:pPr>
              <w:spacing w:after="160" w:line="259" w:lineRule="auto"/>
              <w:jc w:val="center"/>
              <w:rPr>
                <w:lang w:val="en-US"/>
              </w:rPr>
            </w:pPr>
            <w:r w:rsidRPr="00C8412A">
              <w:t>0.02</w:t>
            </w:r>
          </w:p>
        </w:tc>
        <w:tc>
          <w:tcPr>
            <w:tcW w:w="1382" w:type="dxa"/>
            <w:tcBorders>
              <w:top w:val="nil"/>
              <w:bottom w:val="single" w:sz="4" w:space="0" w:color="auto"/>
            </w:tcBorders>
          </w:tcPr>
          <w:p w14:paraId="563313F2" w14:textId="77777777" w:rsidR="0029380D" w:rsidRPr="00BA5027" w:rsidRDefault="0029380D" w:rsidP="002772BE">
            <w:pPr>
              <w:spacing w:after="160" w:line="259" w:lineRule="auto"/>
              <w:jc w:val="center"/>
              <w:rPr>
                <w:lang w:val="en-US"/>
              </w:rPr>
            </w:pPr>
            <w:r w:rsidRPr="00C8412A">
              <w:t>0.03</w:t>
            </w:r>
          </w:p>
        </w:tc>
        <w:tc>
          <w:tcPr>
            <w:tcW w:w="1382" w:type="dxa"/>
            <w:tcBorders>
              <w:top w:val="nil"/>
              <w:bottom w:val="single" w:sz="4" w:space="0" w:color="auto"/>
            </w:tcBorders>
          </w:tcPr>
          <w:p w14:paraId="0091019C" w14:textId="77777777" w:rsidR="0029380D" w:rsidRPr="00BA5027" w:rsidRDefault="0029380D" w:rsidP="002772BE">
            <w:pPr>
              <w:spacing w:after="160" w:line="259" w:lineRule="auto"/>
              <w:jc w:val="center"/>
              <w:rPr>
                <w:lang w:val="en-US"/>
              </w:rPr>
            </w:pPr>
            <w:r w:rsidRPr="00C8412A">
              <w:t>0.9 %</w:t>
            </w:r>
          </w:p>
        </w:tc>
      </w:tr>
    </w:tbl>
    <w:p w14:paraId="65CCC5EE" w14:textId="7A10158A" w:rsidR="0029380D" w:rsidRPr="0029380D" w:rsidRDefault="0029380D" w:rsidP="0029380D">
      <w:r>
        <w:rPr>
          <w:lang w:val="en-US"/>
        </w:rPr>
        <w:t xml:space="preserve"> </w:t>
      </w:r>
    </w:p>
    <w:p w14:paraId="3DF4D8B2" w14:textId="2B0F1334" w:rsidR="0029380D" w:rsidRPr="0029380D" w:rsidRDefault="0029380D" w:rsidP="0029380D">
      <w:pPr>
        <w:ind w:firstLine="284"/>
        <w:rPr>
          <w:lang w:val="en-US"/>
        </w:rPr>
      </w:pPr>
      <w:r w:rsidRPr="009E172A">
        <w:rPr>
          <w:lang w:val="en-US"/>
        </w:rPr>
        <w:t xml:space="preserve">Towards the end of the data series, a noticeable rise in error is evident in both the gas coolers' outlet temperatures and the heat production </w:t>
      </w:r>
      <w:r w:rsidR="00D20F5E">
        <w:rPr>
          <w:lang w:val="en-US"/>
        </w:rPr>
        <w:t>predictions</w:t>
      </w:r>
      <w:r w:rsidRPr="009E172A">
        <w:rPr>
          <w:lang w:val="en-US"/>
        </w:rPr>
        <w:t xml:space="preserve">. This variation can be </w:t>
      </w:r>
      <w:r w:rsidRPr="00111186">
        <w:rPr>
          <w:lang w:val="en-US"/>
        </w:rPr>
        <w:t>attributed to the single unpredictable model input: the evaporator's inlet temperature. As illustrated in</w:t>
      </w:r>
      <w:r>
        <w:rPr>
          <w:lang w:val="en-US"/>
        </w:rPr>
        <w:t xml:space="preserve"> </w:t>
      </w:r>
      <w:r w:rsidRPr="00AF4AAC">
        <w:rPr>
          <w:lang w:val="en-US"/>
        </w:rPr>
        <w:fldChar w:fldCharType="begin"/>
      </w:r>
      <w:r w:rsidRPr="00AF4AAC">
        <w:rPr>
          <w:lang w:val="en-US"/>
        </w:rPr>
        <w:instrText xml:space="preserve"> REF _Ref143752966 \h  \* MERGEFORMAT </w:instrText>
      </w:r>
      <w:r w:rsidRPr="00AF4AAC">
        <w:rPr>
          <w:lang w:val="en-US"/>
        </w:rPr>
      </w:r>
      <w:r w:rsidRPr="00AF4AAC">
        <w:rPr>
          <w:lang w:val="en-US"/>
        </w:rPr>
        <w:fldChar w:fldCharType="separate"/>
      </w:r>
      <w:r w:rsidR="00CB2184" w:rsidRPr="00CB2184">
        <w:rPr>
          <w:rFonts w:ascii="Times New Roman" w:hAnsi="Times New Roman"/>
          <w:lang w:eastAsia="en-GB"/>
        </w:rPr>
        <w:t xml:space="preserve">Figure </w:t>
      </w:r>
      <w:r w:rsidR="00CB2184" w:rsidRPr="00CB2184">
        <w:rPr>
          <w:rFonts w:ascii="Times New Roman" w:hAnsi="Times New Roman"/>
          <w:noProof/>
          <w:lang w:eastAsia="en-GB"/>
        </w:rPr>
        <w:t>4</w:t>
      </w:r>
      <w:r w:rsidRPr="00AF4AAC">
        <w:rPr>
          <w:lang w:val="en-US"/>
        </w:rPr>
        <w:fldChar w:fldCharType="end"/>
      </w:r>
      <w:r w:rsidRPr="00AF4AAC">
        <w:rPr>
          <w:lang w:val="en-US"/>
        </w:rPr>
        <w:t xml:space="preserve">, this temperature, labeled as </w:t>
      </w:r>
      <w:proofErr w:type="spellStart"/>
      <w:r w:rsidRPr="00AF4AAC">
        <w:rPr>
          <w:lang w:val="en-US"/>
        </w:rPr>
        <w:t>T</w:t>
      </w:r>
      <w:r>
        <w:rPr>
          <w:lang w:val="en-US"/>
        </w:rPr>
        <w:t>_</w:t>
      </w:r>
      <w:r w:rsidRPr="00AF4AAC">
        <w:rPr>
          <w:lang w:val="en-US"/>
        </w:rPr>
        <w:t>in_EV</w:t>
      </w:r>
      <w:r>
        <w:rPr>
          <w:lang w:val="en-US"/>
        </w:rPr>
        <w:t>P</w:t>
      </w:r>
      <w:proofErr w:type="spellEnd"/>
      <w:r>
        <w:rPr>
          <w:lang w:val="en-US"/>
        </w:rPr>
        <w:t xml:space="preserve"> [°C]</w:t>
      </w:r>
      <w:r w:rsidRPr="00AF4AAC">
        <w:rPr>
          <w:lang w:val="en-US"/>
        </w:rPr>
        <w:t>, increases rapidly from +16 - 17 °C to around +20 °C, exceeding the temperature range used in the initial training.</w:t>
      </w:r>
      <w:r w:rsidRPr="0029380D">
        <w:rPr>
          <w:lang w:val="en-US"/>
        </w:rPr>
        <w:t xml:space="preserve"> </w:t>
      </w:r>
      <w:r w:rsidRPr="00AF4AAC">
        <w:rPr>
          <w:lang w:val="en-US"/>
        </w:rPr>
        <w:fldChar w:fldCharType="begin"/>
      </w:r>
      <w:r w:rsidRPr="00AF4AAC">
        <w:rPr>
          <w:lang w:val="en-US"/>
        </w:rPr>
        <w:instrText xml:space="preserve"> REF _Ref144895599 \h  \* MERGEFORMAT </w:instrText>
      </w:r>
      <w:r w:rsidRPr="00AF4AAC">
        <w:rPr>
          <w:lang w:val="en-US"/>
        </w:rPr>
      </w:r>
      <w:r w:rsidRPr="00AF4AAC">
        <w:rPr>
          <w:lang w:val="en-US"/>
        </w:rPr>
        <w:fldChar w:fldCharType="separate"/>
      </w:r>
      <w:r w:rsidR="00CB2184" w:rsidRPr="00CB2184">
        <w:rPr>
          <w:rFonts w:ascii="Times New Roman" w:hAnsi="Times New Roman"/>
          <w:lang w:eastAsia="en-GB"/>
        </w:rPr>
        <w:t xml:space="preserve">Figure </w:t>
      </w:r>
      <w:r w:rsidR="00CB2184" w:rsidRPr="00CB2184">
        <w:rPr>
          <w:rFonts w:ascii="Times New Roman" w:hAnsi="Times New Roman"/>
          <w:noProof/>
          <w:lang w:eastAsia="en-GB"/>
        </w:rPr>
        <w:t>6</w:t>
      </w:r>
      <w:r w:rsidRPr="00AF4AAC">
        <w:rPr>
          <w:lang w:val="en-US"/>
        </w:rPr>
        <w:fldChar w:fldCharType="end"/>
      </w:r>
      <w:r w:rsidRPr="00AF4AAC">
        <w:rPr>
          <w:lang w:val="en-US"/>
        </w:rPr>
        <w:t xml:space="preserve"> showcases conditions from the training </w:t>
      </w:r>
      <w:r w:rsidR="00D20F5E">
        <w:rPr>
          <w:lang w:val="en-US"/>
        </w:rPr>
        <w:t>stage</w:t>
      </w:r>
      <w:r w:rsidRPr="00AF4AAC">
        <w:rPr>
          <w:lang w:val="en-US"/>
        </w:rPr>
        <w:t xml:space="preserve"> with gas cooler inlet temperatures like those from August 2023. Within the red rectangle, the</w:t>
      </w:r>
      <w:r w:rsidR="005C039D">
        <w:rPr>
          <w:lang w:val="en-US"/>
        </w:rPr>
        <w:t xml:space="preserve"> inlet temperature to the</w:t>
      </w:r>
      <w:r w:rsidRPr="00AF4AAC">
        <w:rPr>
          <w:lang w:val="en-US"/>
        </w:rPr>
        <w:t xml:space="preserve"> evaporator during training </w:t>
      </w:r>
      <w:r w:rsidR="005C039D">
        <w:rPr>
          <w:lang w:val="en-US"/>
        </w:rPr>
        <w:t xml:space="preserve">is </w:t>
      </w:r>
      <w:r w:rsidR="00D20F5E">
        <w:rPr>
          <w:lang w:val="en-US"/>
        </w:rPr>
        <w:t>documented</w:t>
      </w:r>
      <w:r w:rsidR="005C039D">
        <w:rPr>
          <w:lang w:val="en-US"/>
        </w:rPr>
        <w:t xml:space="preserve">. The temperature </w:t>
      </w:r>
      <w:r w:rsidRPr="00AF4AAC">
        <w:rPr>
          <w:lang w:val="en-US"/>
        </w:rPr>
        <w:t>was relatively</w:t>
      </w:r>
      <w:r w:rsidRPr="009E172A">
        <w:rPr>
          <w:lang w:val="en-US"/>
        </w:rPr>
        <w:t xml:space="preserve"> stable, within </w:t>
      </w:r>
      <w:r w:rsidR="00D20F5E">
        <w:rPr>
          <w:lang w:val="en-US"/>
        </w:rPr>
        <w:t xml:space="preserve">a range between </w:t>
      </w:r>
      <w:r w:rsidRPr="009E172A">
        <w:rPr>
          <w:lang w:val="en-US"/>
        </w:rPr>
        <w:t>1</w:t>
      </w:r>
      <w:r>
        <w:rPr>
          <w:lang w:val="en-US"/>
        </w:rPr>
        <w:t>5</w:t>
      </w:r>
      <w:r w:rsidRPr="009E172A">
        <w:rPr>
          <w:lang w:val="en-US"/>
        </w:rPr>
        <w:t>-17 °C</w:t>
      </w:r>
      <w:r w:rsidR="005C039D">
        <w:rPr>
          <w:lang w:val="en-US"/>
        </w:rPr>
        <w:t>, and thus below the values used in the practical evaluation.</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36"/>
      </w:tblGrid>
      <w:tr w:rsidR="005C339B" w14:paraId="2CAB0271" w14:textId="77777777" w:rsidTr="00111186">
        <w:tc>
          <w:tcPr>
            <w:tcW w:w="4516" w:type="dxa"/>
          </w:tcPr>
          <w:p w14:paraId="5CB199BE" w14:textId="77758D43" w:rsidR="00F13304" w:rsidRDefault="005C339B" w:rsidP="005C339B">
            <w:pPr>
              <w:pStyle w:val="FigureCaption"/>
              <w:spacing w:before="120"/>
              <w:ind w:left="0"/>
              <w:jc w:val="right"/>
              <w:rPr>
                <w:rFonts w:ascii="Times New Roman" w:hAnsi="Times New Roman"/>
                <w:bCs/>
                <w:lang w:eastAsia="en-GB"/>
              </w:rPr>
            </w:pPr>
            <w:r>
              <w:rPr>
                <w:rFonts w:ascii="Times New Roman" w:hAnsi="Times New Roman"/>
                <w:bCs/>
                <w:noProof/>
                <w:lang w:eastAsia="en-GB"/>
              </w:rPr>
              <w:drawing>
                <wp:inline distT="0" distB="0" distL="0" distR="0" wp14:anchorId="73B92EEF" wp14:editId="388ACD17">
                  <wp:extent cx="2714395" cy="1796330"/>
                  <wp:effectExtent l="0" t="0" r="0" b="0"/>
                  <wp:docPr id="1957540764"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40764" name="Picture 10" descr="A screenshot of a computer screen&#10;&#10;Description automatically generated"/>
                          <pic:cNvPicPr/>
                        </pic:nvPicPr>
                        <pic:blipFill>
                          <a:blip r:embed="rId15"/>
                          <a:stretch>
                            <a:fillRect/>
                          </a:stretch>
                        </pic:blipFill>
                        <pic:spPr>
                          <a:xfrm>
                            <a:off x="0" y="0"/>
                            <a:ext cx="2750645" cy="1820319"/>
                          </a:xfrm>
                          <a:prstGeom prst="rect">
                            <a:avLst/>
                          </a:prstGeom>
                        </pic:spPr>
                      </pic:pic>
                    </a:graphicData>
                  </a:graphic>
                </wp:inline>
              </w:drawing>
            </w:r>
          </w:p>
        </w:tc>
        <w:tc>
          <w:tcPr>
            <w:tcW w:w="4517" w:type="dxa"/>
          </w:tcPr>
          <w:p w14:paraId="2464089C" w14:textId="4D4F4A62" w:rsidR="00F13304" w:rsidRDefault="005C339B" w:rsidP="005C339B">
            <w:pPr>
              <w:pStyle w:val="FigureCaption"/>
              <w:spacing w:before="120"/>
              <w:ind w:left="0"/>
              <w:jc w:val="right"/>
              <w:rPr>
                <w:rFonts w:ascii="Times New Roman" w:hAnsi="Times New Roman"/>
                <w:bCs/>
                <w:lang w:eastAsia="en-GB"/>
              </w:rPr>
            </w:pPr>
            <w:r>
              <w:rPr>
                <w:rFonts w:ascii="Times New Roman" w:hAnsi="Times New Roman"/>
                <w:bCs/>
                <w:noProof/>
                <w:lang w:eastAsia="en-GB"/>
              </w:rPr>
              <w:drawing>
                <wp:inline distT="0" distB="0" distL="0" distR="0" wp14:anchorId="75E57747" wp14:editId="63A416AE">
                  <wp:extent cx="2739427" cy="1812897"/>
                  <wp:effectExtent l="0" t="0" r="3810" b="0"/>
                  <wp:docPr id="619772175" name="Picture 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72175" name="Picture 12" descr="A screenshot of a computer screen&#10;&#10;Description automatically generated"/>
                          <pic:cNvPicPr/>
                        </pic:nvPicPr>
                        <pic:blipFill>
                          <a:blip r:embed="rId16"/>
                          <a:stretch>
                            <a:fillRect/>
                          </a:stretch>
                        </pic:blipFill>
                        <pic:spPr>
                          <a:xfrm>
                            <a:off x="0" y="0"/>
                            <a:ext cx="2770241" cy="1833289"/>
                          </a:xfrm>
                          <a:prstGeom prst="rect">
                            <a:avLst/>
                          </a:prstGeom>
                        </pic:spPr>
                      </pic:pic>
                    </a:graphicData>
                  </a:graphic>
                </wp:inline>
              </w:drawing>
            </w:r>
          </w:p>
        </w:tc>
      </w:tr>
      <w:tr w:rsidR="00F13304" w14:paraId="7ADE295F" w14:textId="77777777" w:rsidTr="00111186">
        <w:tc>
          <w:tcPr>
            <w:tcW w:w="9033" w:type="dxa"/>
            <w:gridSpan w:val="2"/>
          </w:tcPr>
          <w:p w14:paraId="31B15387" w14:textId="6C8D3712" w:rsidR="00F13304" w:rsidRDefault="00F13304" w:rsidP="004E752E">
            <w:pPr>
              <w:pStyle w:val="FigureCaption"/>
              <w:spacing w:before="120"/>
              <w:ind w:left="0"/>
              <w:rPr>
                <w:rFonts w:ascii="Times New Roman" w:hAnsi="Times New Roman"/>
                <w:bCs/>
                <w:lang w:eastAsia="en-GB"/>
              </w:rPr>
            </w:pPr>
            <w:bookmarkStart w:id="7" w:name="_Ref143772191"/>
            <w:r w:rsidRPr="00DC1F43">
              <w:rPr>
                <w:rFonts w:ascii="Times New Roman" w:hAnsi="Times New Roman"/>
                <w:b/>
                <w:lang w:eastAsia="en-GB"/>
              </w:rPr>
              <w:t xml:space="preserve">Figure </w:t>
            </w:r>
            <w:r w:rsidRPr="00DC1F43">
              <w:rPr>
                <w:rFonts w:ascii="Times New Roman" w:hAnsi="Times New Roman"/>
                <w:b/>
                <w:lang w:eastAsia="en-GB"/>
              </w:rPr>
              <w:fldChar w:fldCharType="begin"/>
            </w:r>
            <w:r w:rsidRPr="00DC1F43">
              <w:rPr>
                <w:rFonts w:ascii="Times New Roman" w:hAnsi="Times New Roman"/>
                <w:b/>
                <w:lang w:eastAsia="en-GB"/>
              </w:rPr>
              <w:instrText xml:space="preserve"> SEQ Figure \* ARABIC </w:instrText>
            </w:r>
            <w:r w:rsidRPr="00DC1F43">
              <w:rPr>
                <w:rFonts w:ascii="Times New Roman" w:hAnsi="Times New Roman"/>
                <w:b/>
                <w:lang w:eastAsia="en-GB"/>
              </w:rPr>
              <w:fldChar w:fldCharType="separate"/>
            </w:r>
            <w:r w:rsidR="00CB2184">
              <w:rPr>
                <w:rFonts w:ascii="Times New Roman" w:hAnsi="Times New Roman"/>
                <w:b/>
                <w:noProof/>
                <w:lang w:eastAsia="en-GB"/>
              </w:rPr>
              <w:t>5</w:t>
            </w:r>
            <w:r w:rsidRPr="00DC1F43">
              <w:rPr>
                <w:rFonts w:ascii="Times New Roman" w:hAnsi="Times New Roman"/>
                <w:b/>
                <w:lang w:eastAsia="en-GB"/>
              </w:rPr>
              <w:fldChar w:fldCharType="end"/>
            </w:r>
            <w:bookmarkEnd w:id="7"/>
            <w:r>
              <w:rPr>
                <w:rFonts w:ascii="Times New Roman" w:hAnsi="Times New Roman"/>
                <w:b/>
                <w:lang w:eastAsia="en-GB"/>
              </w:rPr>
              <w:t>.</w:t>
            </w:r>
            <w:r w:rsidRPr="00DC1F43">
              <w:rPr>
                <w:rFonts w:ascii="Times New Roman" w:hAnsi="Times New Roman"/>
                <w:b/>
                <w:lang w:eastAsia="en-GB"/>
              </w:rPr>
              <w:t xml:space="preserve"> </w:t>
            </w:r>
            <w:r w:rsidR="009D0762" w:rsidRPr="009D0762">
              <w:rPr>
                <w:rFonts w:ascii="Times New Roman" w:hAnsi="Times New Roman"/>
                <w:bCs/>
                <w:lang w:eastAsia="en-GB"/>
              </w:rPr>
              <w:t>(a)</w:t>
            </w:r>
            <w:r w:rsidR="009D0762">
              <w:rPr>
                <w:rFonts w:ascii="Times New Roman" w:hAnsi="Times New Roman"/>
                <w:b/>
                <w:lang w:eastAsia="en-GB"/>
              </w:rPr>
              <w:t xml:space="preserve"> </w:t>
            </w:r>
            <w:r w:rsidR="009D0762">
              <w:rPr>
                <w:rFonts w:ascii="Times New Roman" w:hAnsi="Times New Roman"/>
                <w:bCs/>
                <w:lang w:eastAsia="en-GB"/>
              </w:rPr>
              <w:t xml:space="preserve">Temperature </w:t>
            </w:r>
            <w:r w:rsidRPr="00DC1F43">
              <w:rPr>
                <w:rFonts w:ascii="Times New Roman" w:hAnsi="Times New Roman"/>
                <w:bCs/>
                <w:lang w:eastAsia="en-GB"/>
              </w:rPr>
              <w:t>predictions</w:t>
            </w:r>
            <w:r w:rsidR="009D0762">
              <w:rPr>
                <w:rFonts w:ascii="Times New Roman" w:hAnsi="Times New Roman"/>
                <w:bCs/>
                <w:lang w:eastAsia="en-GB"/>
              </w:rPr>
              <w:t xml:space="preserve"> and, (b)</w:t>
            </w:r>
            <w:r w:rsidR="000A0094">
              <w:rPr>
                <w:rFonts w:ascii="Times New Roman" w:hAnsi="Times New Roman"/>
                <w:bCs/>
                <w:lang w:eastAsia="en-GB"/>
              </w:rPr>
              <w:t xml:space="preserve"> heat and</w:t>
            </w:r>
            <w:r w:rsidR="009D0762">
              <w:rPr>
                <w:rFonts w:ascii="Times New Roman" w:hAnsi="Times New Roman"/>
                <w:bCs/>
                <w:lang w:eastAsia="en-GB"/>
              </w:rPr>
              <w:t xml:space="preserve"> energy predictions, using the final model.</w:t>
            </w:r>
          </w:p>
        </w:tc>
      </w:tr>
    </w:tbl>
    <w:p w14:paraId="7DC52EAC" w14:textId="77777777" w:rsidR="008C473B" w:rsidRDefault="008C473B" w:rsidP="00F13304">
      <w:pPr>
        <w:rPr>
          <w:lang w:val="en-US"/>
        </w:rPr>
      </w:pPr>
    </w:p>
    <w:p w14:paraId="2A8281CC" w14:textId="3C6A28A0" w:rsidR="00111186" w:rsidRPr="00F13304" w:rsidRDefault="00111186" w:rsidP="00AF4AAC">
      <w:pPr>
        <w:ind w:firstLine="284"/>
        <w:rPr>
          <w:lang w:val="en-US"/>
        </w:rPr>
      </w:pPr>
      <w:r w:rsidRPr="00B46104">
        <w:rPr>
          <w:lang w:val="en-US"/>
        </w:rPr>
        <w:t xml:space="preserve">The visual validation emphasizes both the strengths and limitations of the ANN. It demonstrates its effective interpolation capabilities, while also revealing challenges encountered during extrapolation. From a design and operation standpoint, the model offers consistent accuracy for design evaluations and control operations, ensuring the training data aligns with realistic operational parameters. </w:t>
      </w:r>
      <w:r w:rsidR="00D20F5E" w:rsidRPr="00D20F5E">
        <w:rPr>
          <w:lang w:val="en-US"/>
        </w:rPr>
        <w:t>The model's occasional deviations, especially when inlet values are outside its familiar range, suggest caution in less-known conditions.</w:t>
      </w:r>
      <w:r w:rsidRPr="00B46104">
        <w:rPr>
          <w:lang w:val="en-US"/>
        </w:rPr>
        <w:t xml:space="preserve"> However, these deviations might also underscore the model's potential in pinpointing operational anomalies, indicating its </w:t>
      </w:r>
      <w:r>
        <w:rPr>
          <w:lang w:val="en-US"/>
        </w:rPr>
        <w:t>applicabilit</w:t>
      </w:r>
      <w:r w:rsidRPr="00B46104">
        <w:rPr>
          <w:lang w:val="en-US"/>
        </w:rPr>
        <w:t>y in system malfunction detection.</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3"/>
      </w:tblGrid>
      <w:tr w:rsidR="00EF379B" w14:paraId="196B3A28" w14:textId="77777777" w:rsidTr="00EF364E">
        <w:tc>
          <w:tcPr>
            <w:tcW w:w="9061" w:type="dxa"/>
          </w:tcPr>
          <w:bookmarkStart w:id="8" w:name="_Ref143775238"/>
          <w:p w14:paraId="67D2B4B4" w14:textId="276D78D3" w:rsidR="00EF379B" w:rsidRDefault="00EF379B" w:rsidP="00DC1F43">
            <w:pPr>
              <w:pStyle w:val="FigureCaption"/>
              <w:spacing w:before="120"/>
              <w:ind w:left="0"/>
              <w:rPr>
                <w:rFonts w:ascii="Times New Roman" w:hAnsi="Times New Roman"/>
                <w:b/>
                <w:lang w:eastAsia="en-GB"/>
              </w:rPr>
            </w:pPr>
            <w:r>
              <w:rPr>
                <w:noProof/>
              </w:rPr>
              <w:lastRenderedPageBreak/>
              <mc:AlternateContent>
                <mc:Choice Requires="wps">
                  <w:drawing>
                    <wp:anchor distT="0" distB="0" distL="114300" distR="114300" simplePos="0" relativeHeight="251662336" behindDoc="0" locked="0" layoutInCell="1" allowOverlap="1" wp14:anchorId="698B807F" wp14:editId="675289B2">
                      <wp:simplePos x="0" y="0"/>
                      <wp:positionH relativeFrom="column">
                        <wp:posOffset>1637140</wp:posOffset>
                      </wp:positionH>
                      <wp:positionV relativeFrom="paragraph">
                        <wp:posOffset>107287</wp:posOffset>
                      </wp:positionV>
                      <wp:extent cx="1011914" cy="2382244"/>
                      <wp:effectExtent l="19050" t="19050" r="17145" b="18415"/>
                      <wp:wrapNone/>
                      <wp:docPr id="3" name="Rectangle 3"/>
                      <wp:cNvGraphicFramePr/>
                      <a:graphic xmlns:a="http://schemas.openxmlformats.org/drawingml/2006/main">
                        <a:graphicData uri="http://schemas.microsoft.com/office/word/2010/wordprocessingShape">
                          <wps:wsp>
                            <wps:cNvSpPr/>
                            <wps:spPr>
                              <a:xfrm>
                                <a:off x="0" y="0"/>
                                <a:ext cx="1011914" cy="2382244"/>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4362A" id="Rectangle 3" o:spid="_x0000_s1026" style="position:absolute;margin-left:128.9pt;margin-top:8.45pt;width:79.7pt;height:18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" filled="f" strokecolor="red" strokeweight="3pt"/>
                  </w:pict>
                </mc:Fallback>
              </mc:AlternateContent>
            </w:r>
            <w:r w:rsidR="005C339B">
              <w:rPr>
                <w:rFonts w:ascii="Times New Roman" w:hAnsi="Times New Roman"/>
                <w:b/>
                <w:noProof/>
                <w:lang w:eastAsia="en-GB"/>
              </w:rPr>
              <w:drawing>
                <wp:inline distT="0" distB="0" distL="0" distR="0" wp14:anchorId="2DC0F7B1" wp14:editId="0F14630C">
                  <wp:extent cx="4627659" cy="3060959"/>
                  <wp:effectExtent l="0" t="0" r="1905" b="6350"/>
                  <wp:docPr id="1545525554" name="Picture 1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25554" name="Picture 13" descr="A screen shot of a graph&#10;&#10;Description automatically generated"/>
                          <pic:cNvPicPr/>
                        </pic:nvPicPr>
                        <pic:blipFill>
                          <a:blip r:embed="rId17"/>
                          <a:stretch>
                            <a:fillRect/>
                          </a:stretch>
                        </pic:blipFill>
                        <pic:spPr>
                          <a:xfrm>
                            <a:off x="0" y="0"/>
                            <a:ext cx="4663904" cy="3084933"/>
                          </a:xfrm>
                          <a:prstGeom prst="rect">
                            <a:avLst/>
                          </a:prstGeom>
                        </pic:spPr>
                      </pic:pic>
                    </a:graphicData>
                  </a:graphic>
                </wp:inline>
              </w:drawing>
            </w:r>
          </w:p>
        </w:tc>
      </w:tr>
      <w:tr w:rsidR="00EF379B" w14:paraId="1B889AF0" w14:textId="77777777" w:rsidTr="00EF364E">
        <w:tc>
          <w:tcPr>
            <w:tcW w:w="9061" w:type="dxa"/>
          </w:tcPr>
          <w:p w14:paraId="41A2BF10" w14:textId="70F071D7" w:rsidR="00EF379B" w:rsidRPr="00EF379B" w:rsidRDefault="00EF379B" w:rsidP="00EF379B">
            <w:pPr>
              <w:pStyle w:val="FigureCaption"/>
              <w:spacing w:before="120"/>
              <w:rPr>
                <w:rFonts w:ascii="Times New Roman" w:hAnsi="Times New Roman"/>
                <w:bCs/>
                <w:lang w:eastAsia="en-GB"/>
              </w:rPr>
            </w:pPr>
            <w:bookmarkStart w:id="9" w:name="_Ref144895599"/>
            <w:r w:rsidRPr="00DC1F43">
              <w:rPr>
                <w:rFonts w:ascii="Times New Roman" w:hAnsi="Times New Roman"/>
                <w:b/>
                <w:lang w:eastAsia="en-GB"/>
              </w:rPr>
              <w:t xml:space="preserve">Figure </w:t>
            </w:r>
            <w:r w:rsidRPr="00DC1F43">
              <w:rPr>
                <w:rFonts w:ascii="Times New Roman" w:hAnsi="Times New Roman"/>
                <w:b/>
                <w:lang w:eastAsia="en-GB"/>
              </w:rPr>
              <w:fldChar w:fldCharType="begin"/>
            </w:r>
            <w:r w:rsidRPr="00DC1F43">
              <w:rPr>
                <w:rFonts w:ascii="Times New Roman" w:hAnsi="Times New Roman"/>
                <w:b/>
                <w:lang w:eastAsia="en-GB"/>
              </w:rPr>
              <w:instrText xml:space="preserve"> SEQ Figure \* ARABIC </w:instrText>
            </w:r>
            <w:r w:rsidRPr="00DC1F43">
              <w:rPr>
                <w:rFonts w:ascii="Times New Roman" w:hAnsi="Times New Roman"/>
                <w:b/>
                <w:lang w:eastAsia="en-GB"/>
              </w:rPr>
              <w:fldChar w:fldCharType="separate"/>
            </w:r>
            <w:r w:rsidR="00CB2184">
              <w:rPr>
                <w:rFonts w:ascii="Times New Roman" w:hAnsi="Times New Roman"/>
                <w:b/>
                <w:noProof/>
                <w:lang w:eastAsia="en-GB"/>
              </w:rPr>
              <w:t>6</w:t>
            </w:r>
            <w:r w:rsidRPr="00DC1F43">
              <w:rPr>
                <w:rFonts w:ascii="Times New Roman" w:hAnsi="Times New Roman"/>
                <w:b/>
                <w:lang w:eastAsia="en-GB"/>
              </w:rPr>
              <w:fldChar w:fldCharType="end"/>
            </w:r>
            <w:bookmarkEnd w:id="9"/>
            <w:r>
              <w:rPr>
                <w:rFonts w:ascii="Times New Roman" w:hAnsi="Times New Roman"/>
                <w:b/>
                <w:lang w:eastAsia="en-GB"/>
              </w:rPr>
              <w:t>.</w:t>
            </w:r>
            <w:r w:rsidRPr="00DC1F43">
              <w:rPr>
                <w:rFonts w:ascii="Times New Roman" w:hAnsi="Times New Roman"/>
                <w:b/>
                <w:lang w:eastAsia="en-GB"/>
              </w:rPr>
              <w:t xml:space="preserve"> </w:t>
            </w:r>
            <w:r w:rsidR="00636816" w:rsidRPr="00636816">
              <w:rPr>
                <w:rFonts w:ascii="Times New Roman" w:hAnsi="Times New Roman"/>
                <w:bCs/>
                <w:lang w:eastAsia="en-GB"/>
              </w:rPr>
              <w:t>ANN training inputs corresponding to August 2023 data.</w:t>
            </w:r>
          </w:p>
        </w:tc>
      </w:tr>
      <w:bookmarkEnd w:id="8"/>
    </w:tbl>
    <w:p w14:paraId="518D91C6" w14:textId="77777777" w:rsidR="00E95D92" w:rsidRDefault="00E95D92" w:rsidP="00CC79EB">
      <w:pPr>
        <w:ind w:firstLine="284"/>
        <w:rPr>
          <w:lang w:val="en-US"/>
        </w:rPr>
      </w:pPr>
    </w:p>
    <w:p w14:paraId="3AC94963" w14:textId="30052C9F" w:rsidR="003D19ED" w:rsidRDefault="009813CE" w:rsidP="00CC79EB">
      <w:pPr>
        <w:ind w:firstLine="284"/>
        <w:rPr>
          <w:lang w:val="en-US"/>
        </w:rPr>
      </w:pPr>
      <w:r w:rsidRPr="00B46104">
        <w:rPr>
          <w:lang w:val="en-US"/>
        </w:rPr>
        <w:t xml:space="preserve">A notable limitation of this method is its dependency on large datasets for model development. The extent of data in this study is relatively </w:t>
      </w:r>
      <w:r w:rsidR="00157418">
        <w:rPr>
          <w:lang w:val="en-US"/>
        </w:rPr>
        <w:t>limited</w:t>
      </w:r>
      <w:r w:rsidRPr="00B46104">
        <w:rPr>
          <w:lang w:val="en-US"/>
        </w:rPr>
        <w:t xml:space="preserve">. Up until now, the heat pump has operated only at its peak output, maintaining constant power consumption throughout the training phase. Additionally, </w:t>
      </w:r>
      <w:r>
        <w:rPr>
          <w:lang w:val="en-US"/>
        </w:rPr>
        <w:t>only</w:t>
      </w:r>
      <w:r w:rsidRPr="00B46104">
        <w:rPr>
          <w:lang w:val="en-US"/>
        </w:rPr>
        <w:t xml:space="preserve"> DHW production has been prioritized</w:t>
      </w:r>
      <w:r>
        <w:rPr>
          <w:lang w:val="en-US"/>
        </w:rPr>
        <w:t xml:space="preserve"> and</w:t>
      </w:r>
      <w:r w:rsidRPr="00B46104">
        <w:rPr>
          <w:lang w:val="en-US"/>
        </w:rPr>
        <w:t xml:space="preserve"> the setpoint </w:t>
      </w:r>
      <w:r>
        <w:rPr>
          <w:lang w:val="en-US"/>
        </w:rPr>
        <w:t>at</w:t>
      </w:r>
      <w:r w:rsidRPr="00B46104">
        <w:rPr>
          <w:lang w:val="en-US"/>
        </w:rPr>
        <w:t xml:space="preserve"> GC</w:t>
      </w:r>
      <w:r w:rsidR="00F93F96">
        <w:rPr>
          <w:lang w:val="en-US"/>
        </w:rPr>
        <w:t>-LT</w:t>
      </w:r>
      <w:r w:rsidRPr="00B46104">
        <w:rPr>
          <w:lang w:val="en-US"/>
        </w:rPr>
        <w:t xml:space="preserve"> has</w:t>
      </w:r>
      <w:r>
        <w:rPr>
          <w:lang w:val="en-US"/>
        </w:rPr>
        <w:t xml:space="preserve"> </w:t>
      </w:r>
      <w:r w:rsidRPr="00B46104">
        <w:rPr>
          <w:lang w:val="en-US"/>
        </w:rPr>
        <w:t xml:space="preserve">been evaluated at two temperatures: +40 °C and +50°C. </w:t>
      </w:r>
      <w:r w:rsidR="0087097C" w:rsidRPr="0087097C">
        <w:rPr>
          <w:lang w:val="en-US"/>
        </w:rPr>
        <w:t xml:space="preserve">In different scenarios, the machine could operate without any heat extraction from GC-LT, adopt lower temperature setpoints for both gas coolers, </w:t>
      </w:r>
      <w:r w:rsidR="00D20F5E" w:rsidRPr="0087097C">
        <w:rPr>
          <w:lang w:val="en-US"/>
        </w:rPr>
        <w:t>and</w:t>
      </w:r>
      <w:r w:rsidR="0087097C" w:rsidRPr="0087097C">
        <w:rPr>
          <w:lang w:val="en-US"/>
        </w:rPr>
        <w:t xml:space="preserve"> reduce the compressor frequency to operate at part-load conditions.</w:t>
      </w:r>
    </w:p>
    <w:p w14:paraId="4D97F7D4" w14:textId="3EDDCF8B" w:rsidR="00CE3A34" w:rsidRDefault="00CE3A34" w:rsidP="00CE3A34">
      <w:pPr>
        <w:pStyle w:val="Section"/>
        <w:rPr>
          <w:rFonts w:ascii="Times New Roman" w:hAnsi="Times New Roman"/>
        </w:rPr>
      </w:pPr>
      <w:r>
        <w:rPr>
          <w:rFonts w:ascii="Times New Roman" w:hAnsi="Times New Roman"/>
        </w:rPr>
        <w:t>Further research and development activities</w:t>
      </w:r>
    </w:p>
    <w:p w14:paraId="65051444" w14:textId="49907E15" w:rsidR="0034797B" w:rsidRDefault="00993851" w:rsidP="0034797B">
      <w:pPr>
        <w:rPr>
          <w:lang w:val="en-US"/>
        </w:rPr>
      </w:pPr>
      <w:r>
        <w:rPr>
          <w:lang w:val="en-US"/>
        </w:rPr>
        <w:t>Th</w:t>
      </w:r>
      <w:r w:rsidR="0029740E">
        <w:rPr>
          <w:lang w:val="en-US"/>
        </w:rPr>
        <w:t>i</w:t>
      </w:r>
      <w:r w:rsidR="0034797B" w:rsidRPr="00866253">
        <w:rPr>
          <w:lang w:val="en-US"/>
        </w:rPr>
        <w:t>s research serves as a foundation for future developments by presenting a dem</w:t>
      </w:r>
      <w:r w:rsidR="0034797B">
        <w:rPr>
          <w:lang w:val="en-US"/>
        </w:rPr>
        <w:t>o</w:t>
      </w:r>
      <w:r w:rsidR="0034797B" w:rsidRPr="00866253">
        <w:rPr>
          <w:lang w:val="en-US"/>
        </w:rPr>
        <w:t xml:space="preserve"> case. </w:t>
      </w:r>
      <w:r w:rsidR="0034797B">
        <w:rPr>
          <w:lang w:val="en-US"/>
        </w:rPr>
        <w:t>The model</w:t>
      </w:r>
      <w:r w:rsidR="0034797B" w:rsidRPr="00866253">
        <w:rPr>
          <w:lang w:val="en-US"/>
        </w:rPr>
        <w:t xml:space="preserve"> equips both users and designers with a robust tool for swift and precise analysis and control capabilities</w:t>
      </w:r>
      <w:r w:rsidR="0034797B">
        <w:rPr>
          <w:lang w:val="en-US"/>
        </w:rPr>
        <w:t xml:space="preserve"> of the CO</w:t>
      </w:r>
      <w:r w:rsidR="0034797B" w:rsidRPr="00866253">
        <w:rPr>
          <w:vertAlign w:val="subscript"/>
          <w:lang w:val="en-US"/>
        </w:rPr>
        <w:t>2</w:t>
      </w:r>
      <w:r w:rsidR="0034797B">
        <w:rPr>
          <w:lang w:val="en-US"/>
        </w:rPr>
        <w:t>-heat pump</w:t>
      </w:r>
      <w:r w:rsidR="0034797B" w:rsidRPr="00866253">
        <w:rPr>
          <w:lang w:val="en-US"/>
        </w:rPr>
        <w:t xml:space="preserve">. These are essential for achieving objectives like condition monitoring and the identification of </w:t>
      </w:r>
      <w:r w:rsidR="0034797B">
        <w:rPr>
          <w:lang w:val="en-US"/>
        </w:rPr>
        <w:t>optimum operation by</w:t>
      </w:r>
      <w:r w:rsidR="0034797B" w:rsidRPr="00866253">
        <w:rPr>
          <w:lang w:val="en-US"/>
        </w:rPr>
        <w:t xml:space="preserve"> set-point</w:t>
      </w:r>
      <w:r w:rsidR="0034797B">
        <w:rPr>
          <w:lang w:val="en-US"/>
        </w:rPr>
        <w:t xml:space="preserve"> selection</w:t>
      </w:r>
      <w:r w:rsidR="0034797B" w:rsidRPr="00866253">
        <w:rPr>
          <w:lang w:val="en-US"/>
        </w:rPr>
        <w:t>.</w:t>
      </w:r>
      <w:r w:rsidR="0034797B">
        <w:rPr>
          <w:lang w:val="en-US"/>
        </w:rPr>
        <w:t xml:space="preserve"> </w:t>
      </w:r>
    </w:p>
    <w:p w14:paraId="2FFF3E00" w14:textId="4DBEFFEF" w:rsidR="000A0094" w:rsidRDefault="0034797B" w:rsidP="000A0094">
      <w:pPr>
        <w:ind w:firstLine="284"/>
        <w:rPr>
          <w:lang w:val="en-US"/>
        </w:rPr>
      </w:pPr>
      <w:r w:rsidRPr="00866253">
        <w:rPr>
          <w:lang w:val="en-US"/>
        </w:rPr>
        <w:t xml:space="preserve">Fast et al. </w:t>
      </w:r>
      <w:r>
        <w:rPr>
          <w:lang w:val="en-US"/>
        </w:rPr>
        <w:t>developed</w:t>
      </w:r>
      <w:r w:rsidRPr="00866253">
        <w:rPr>
          <w:lang w:val="en-US"/>
        </w:rPr>
        <w:t xml:space="preserve"> a Graphical User Interface (GUI) for an Artificial Neural Network (ANN) model </w:t>
      </w:r>
      <w:r>
        <w:rPr>
          <w:lang w:val="en-US"/>
        </w:rPr>
        <w:t>for an</w:t>
      </w:r>
      <w:r w:rsidRPr="00866253">
        <w:rPr>
          <w:lang w:val="en-US"/>
        </w:rPr>
        <w:t xml:space="preserve"> industrial gas turbine </w:t>
      </w:r>
      <w:r>
        <w:rPr>
          <w:lang w:val="en-US"/>
        </w:rPr>
        <w:fldChar w:fldCharType="begin"/>
      </w:r>
      <w:r w:rsidR="00CB2661">
        <w:rPr>
          <w:lang w:val="en-US"/>
        </w:rPr>
        <w:instrText xml:space="preserve"> ADDIN EN.CITE &lt;EndNote&gt;&lt;Cite&gt;&lt;Author&gt;Fast&lt;/Author&gt;&lt;Year&gt;2009&lt;/Year&gt;&lt;RecNum&gt;490&lt;/RecNum&gt;&lt;DisplayText&gt;[32]&lt;/DisplayText&gt;&lt;record&gt;&lt;rec-number&gt;490&lt;/rec-number&gt;&lt;foreign-keys&gt;&lt;key app="EN" db-id="zvr0eev5awpfx9e9faavww2prtw2dpd9r5dr" timestamp="1693900289"&gt;490&lt;/key&gt;&lt;/foreign-keys&gt;&lt;ref-type name="Journal Article"&gt;17&lt;/ref-type&gt;&lt;contributors&gt;&lt;authors&gt;&lt;author&gt;Fast, M.&lt;/author&gt;&lt;author&gt;Assadi, M.&lt;/author&gt;&lt;author&gt;De, S.&lt;/author&gt;&lt;/authors&gt;&lt;/contributors&gt;&lt;titles&gt;&lt;title&gt;Development and multi-utility of an ANN model for an industrial gas turbine&lt;/title&gt;&lt;secondary-title&gt;Applied Energy&lt;/secondary-title&gt;&lt;/titles&gt;&lt;periodical&gt;&lt;full-title&gt;Applied Energy&lt;/full-title&gt;&lt;/periodical&gt;&lt;pages&gt;9-17&lt;/pages&gt;&lt;volume&gt;86&lt;/volume&gt;&lt;number&gt;1&lt;/number&gt;&lt;section&gt;9&lt;/section&gt;&lt;dates&gt;&lt;year&gt;2009&lt;/year&gt;&lt;/dates&gt;&lt;isbn&gt;03062619&lt;/isbn&gt;&lt;urls&gt;&lt;/urls&gt;&lt;electronic-resource-num&gt;10.1016/j.apenergy.2008.03.018&lt;/electronic-resource-num&gt;&lt;/record&gt;&lt;/Cite&gt;&lt;/EndNote&gt;</w:instrText>
      </w:r>
      <w:r>
        <w:rPr>
          <w:lang w:val="en-US"/>
        </w:rPr>
        <w:fldChar w:fldCharType="separate"/>
      </w:r>
      <w:r w:rsidR="00CB2661">
        <w:rPr>
          <w:noProof/>
          <w:lang w:val="en-US"/>
        </w:rPr>
        <w:t>[32]</w:t>
      </w:r>
      <w:r>
        <w:rPr>
          <w:lang w:val="en-US"/>
        </w:rPr>
        <w:fldChar w:fldCharType="end"/>
      </w:r>
      <w:r w:rsidRPr="00866253">
        <w:rPr>
          <w:lang w:val="en-US"/>
        </w:rPr>
        <w:t xml:space="preserve">. Their Excel-based GUI </w:t>
      </w:r>
      <w:r>
        <w:rPr>
          <w:lang w:val="en-US"/>
        </w:rPr>
        <w:t xml:space="preserve">allowed the </w:t>
      </w:r>
      <w:r w:rsidRPr="00866253">
        <w:rPr>
          <w:lang w:val="en-US"/>
        </w:rPr>
        <w:t>plant operator</w:t>
      </w:r>
      <w:r>
        <w:rPr>
          <w:lang w:val="en-US"/>
        </w:rPr>
        <w:t>s</w:t>
      </w:r>
      <w:r w:rsidRPr="00866253">
        <w:rPr>
          <w:lang w:val="en-US"/>
        </w:rPr>
        <w:t xml:space="preserve">, even those unfamiliar with ANNs, to </w:t>
      </w:r>
      <w:r>
        <w:rPr>
          <w:lang w:val="en-US"/>
        </w:rPr>
        <w:t xml:space="preserve">evaluate </w:t>
      </w:r>
      <w:r w:rsidRPr="00866253">
        <w:rPr>
          <w:lang w:val="en-US"/>
        </w:rPr>
        <w:t>the degradation of</w:t>
      </w:r>
      <w:r>
        <w:rPr>
          <w:lang w:val="en-US"/>
        </w:rPr>
        <w:t xml:space="preserve"> their</w:t>
      </w:r>
      <w:r w:rsidRPr="00866253">
        <w:rPr>
          <w:lang w:val="en-US"/>
        </w:rPr>
        <w:t xml:space="preserve"> gas turbine by comparing</w:t>
      </w:r>
      <w:r>
        <w:rPr>
          <w:lang w:val="en-US"/>
        </w:rPr>
        <w:t xml:space="preserve"> the</w:t>
      </w:r>
      <w:r w:rsidRPr="00866253">
        <w:rPr>
          <w:lang w:val="en-US"/>
        </w:rPr>
        <w:t xml:space="preserve"> predicted and</w:t>
      </w:r>
      <w:r>
        <w:rPr>
          <w:lang w:val="en-US"/>
        </w:rPr>
        <w:t xml:space="preserve"> the</w:t>
      </w:r>
      <w:r w:rsidRPr="00866253">
        <w:rPr>
          <w:lang w:val="en-US"/>
        </w:rPr>
        <w:t xml:space="preserve"> real-time data. The</w:t>
      </w:r>
      <w:r>
        <w:rPr>
          <w:lang w:val="en-US"/>
        </w:rPr>
        <w:t>ir</w:t>
      </w:r>
      <w:r w:rsidRPr="00866253">
        <w:rPr>
          <w:lang w:val="en-US"/>
        </w:rPr>
        <w:t xml:space="preserve"> aim </w:t>
      </w:r>
      <w:r>
        <w:rPr>
          <w:lang w:val="en-US"/>
        </w:rPr>
        <w:t>was</w:t>
      </w:r>
      <w:r w:rsidRPr="00866253">
        <w:rPr>
          <w:lang w:val="en-US"/>
        </w:rPr>
        <w:t xml:space="preserve"> to automate this</w:t>
      </w:r>
      <w:r>
        <w:rPr>
          <w:lang w:val="en-US"/>
        </w:rPr>
        <w:t xml:space="preserve"> GUI</w:t>
      </w:r>
      <w:r w:rsidRPr="00866253">
        <w:rPr>
          <w:lang w:val="en-US"/>
        </w:rPr>
        <w:t xml:space="preserve"> for real-time condition monitoring. Inspired by </w:t>
      </w:r>
      <w:r w:rsidR="0087097C">
        <w:rPr>
          <w:lang w:val="en-US"/>
        </w:rPr>
        <w:t>Fast et al.’s work,</w:t>
      </w:r>
      <w:r w:rsidRPr="00866253">
        <w:rPr>
          <w:lang w:val="en-US"/>
        </w:rPr>
        <w:t xml:space="preserve"> </w:t>
      </w:r>
      <w:r w:rsidRPr="00CC79EB">
        <w:rPr>
          <w:lang w:val="en-US"/>
        </w:rPr>
        <w:fldChar w:fldCharType="begin"/>
      </w:r>
      <w:r w:rsidRPr="00CC79EB">
        <w:rPr>
          <w:lang w:val="en-US"/>
        </w:rPr>
        <w:instrText xml:space="preserve"> REF _Ref144813751 \h  \* MERGEFORMAT </w:instrText>
      </w:r>
      <w:r w:rsidRPr="00CC79EB">
        <w:rPr>
          <w:lang w:val="en-US"/>
        </w:rPr>
      </w:r>
      <w:r w:rsidRPr="00CC79EB">
        <w:rPr>
          <w:lang w:val="en-US"/>
        </w:rPr>
        <w:fldChar w:fldCharType="separate"/>
      </w:r>
      <w:r w:rsidR="00CB2184" w:rsidRPr="00CB2184">
        <w:rPr>
          <w:rFonts w:ascii="Times New Roman" w:hAnsi="Times New Roman"/>
          <w:lang w:eastAsia="en-GB"/>
        </w:rPr>
        <w:t>Figure 7</w:t>
      </w:r>
      <w:r w:rsidRPr="00CC79EB">
        <w:rPr>
          <w:lang w:val="en-US"/>
        </w:rPr>
        <w:fldChar w:fldCharType="end"/>
      </w:r>
      <w:r w:rsidRPr="00866253">
        <w:rPr>
          <w:lang w:val="en-US"/>
        </w:rPr>
        <w:t xml:space="preserve"> showcases an initial GUI for the CO</w:t>
      </w:r>
      <w:r w:rsidRPr="00232FCF">
        <w:rPr>
          <w:vertAlign w:val="subscript"/>
          <w:lang w:val="en-US"/>
        </w:rPr>
        <w:t xml:space="preserve">2 </w:t>
      </w:r>
      <w:r w:rsidRPr="00866253">
        <w:rPr>
          <w:lang w:val="en-US"/>
        </w:rPr>
        <w:t xml:space="preserve">heat pump investigated in this study. The GUI uses color coding to differentiate between inlet conditions </w:t>
      </w:r>
      <w:r w:rsidR="0087097C">
        <w:rPr>
          <w:lang w:val="en-US"/>
        </w:rPr>
        <w:t>(blue</w:t>
      </w:r>
      <w:r w:rsidRPr="00866253">
        <w:rPr>
          <w:lang w:val="en-US"/>
        </w:rPr>
        <w:t>), controllable set-points (yellow), actual measurements (green), and predictions (red). The Coefficient of Performance (COP) is then estimated based on heat production and electricity consumption and compared against actual measurements.</w:t>
      </w:r>
      <w:r w:rsidR="000A0094" w:rsidRPr="000A0094">
        <w:rPr>
          <w:lang w:val="en-US"/>
        </w:rPr>
        <w:t xml:space="preserve"> </w:t>
      </w:r>
    </w:p>
    <w:p w14:paraId="0D393282" w14:textId="3307F09F" w:rsidR="000A0094" w:rsidRDefault="000A0094" w:rsidP="000A0094">
      <w:pPr>
        <w:ind w:firstLine="284"/>
        <w:rPr>
          <w:lang w:val="en-US"/>
        </w:rPr>
      </w:pPr>
      <w:r w:rsidRPr="009F16E7">
        <w:rPr>
          <w:lang w:val="en-US"/>
        </w:rPr>
        <w:t>This research may lead to numerous advancements. These range from data-driven demand predictions to system operation optimization influenced by dynamic elements, such as heat demand and electricity pricing. Additionally, there</w:t>
      </w:r>
      <w:r w:rsidR="00C47EDD">
        <w:rPr>
          <w:lang w:val="en-US"/>
        </w:rPr>
        <w:t xml:space="preserve"> is</w:t>
      </w:r>
      <w:r w:rsidRPr="009F16E7">
        <w:rPr>
          <w:lang w:val="en-US"/>
        </w:rPr>
        <w:t xml:space="preserve"> potential for integration with energy storage, geothermal boreholes, and solar heating systems.</w:t>
      </w:r>
      <w:r w:rsidRPr="000A0094">
        <w:rPr>
          <w:lang w:val="en-US"/>
        </w:rPr>
        <w:t xml:space="preserve"> </w:t>
      </w:r>
    </w:p>
    <w:p w14:paraId="26C1920E" w14:textId="577DB943" w:rsidR="000A0094" w:rsidRDefault="000A0094" w:rsidP="000A0094">
      <w:pPr>
        <w:ind w:firstLine="284"/>
        <w:rPr>
          <w:lang w:val="en-US"/>
        </w:rPr>
      </w:pPr>
      <w:r w:rsidRPr="00866253">
        <w:rPr>
          <w:lang w:val="en-US"/>
        </w:rPr>
        <w:t>A CO</w:t>
      </w:r>
      <w:r w:rsidRPr="0034797B">
        <w:rPr>
          <w:vertAlign w:val="subscript"/>
          <w:lang w:val="en-US"/>
        </w:rPr>
        <w:t>2</w:t>
      </w:r>
      <w:r w:rsidRPr="00866253">
        <w:rPr>
          <w:lang w:val="en-US"/>
        </w:rPr>
        <w:t xml:space="preserve"> heat pump </w:t>
      </w:r>
      <w:r>
        <w:rPr>
          <w:lang w:val="en-US"/>
        </w:rPr>
        <w:t>connected to a</w:t>
      </w:r>
      <w:r w:rsidRPr="00866253">
        <w:rPr>
          <w:lang w:val="en-US"/>
        </w:rPr>
        <w:t xml:space="preserve"> stratified storage </w:t>
      </w:r>
      <w:r>
        <w:rPr>
          <w:lang w:val="en-US"/>
        </w:rPr>
        <w:t xml:space="preserve">system </w:t>
      </w:r>
      <w:r w:rsidRPr="00866253">
        <w:rPr>
          <w:lang w:val="en-US"/>
        </w:rPr>
        <w:t xml:space="preserve">can play a significant role in a hybrid microgrid </w:t>
      </w:r>
      <w:r>
        <w:rPr>
          <w:lang w:val="en-US"/>
        </w:rPr>
        <w:fldChar w:fldCharType="begin"/>
      </w:r>
      <w:r>
        <w:rPr>
          <w:lang w:val="en-US"/>
        </w:rPr>
        <w:instrText xml:space="preserve"> ADDIN EN.CITE &lt;EndNote&gt;&lt;Cite&gt;&lt;Author&gt;Obara&lt;/Author&gt;&lt;Year&gt;2017&lt;/Year&gt;&lt;RecNum&gt;492&lt;/RecNum&gt;&lt;DisplayText&gt;[33]&lt;/DisplayText&gt;&lt;record&gt;&lt;rec-number&gt;492&lt;/rec-number&gt;&lt;foreign-keys&gt;&lt;key app="EN" db-id="zvr0eev5awpfx9e9faavww2prtw2dpd9r5dr" timestamp="1693937995"&gt;492&lt;/key&gt;&lt;/foreign-keys&gt;&lt;ref-type name="Journal Article"&gt;17&lt;/ref-type&gt;&lt;contributors&gt;&lt;authors&gt;&lt;author&gt;Obara, Shin’ya&lt;/author&gt;&lt;author&gt;Nagano, Katsunori&lt;/author&gt;&lt;author&gt;Okada, Masaki&lt;/author&gt;&lt;/authors&gt;&lt;/contributors&gt;&lt;titles&gt;&lt;title&gt;Facilities introduction planning of a microgrid with CO 2 heat pump heating for cold regions&lt;/title&gt;&lt;secondary-title&gt;Energy&lt;/secondary-title&gt;&lt;/titles&gt;&lt;periodical&gt;&lt;full-title&gt;Energy&lt;/full-title&gt;&lt;/periodical&gt;&lt;pages&gt;486-499&lt;/pages&gt;&lt;volume&gt;135&lt;/volume&gt;&lt;section&gt;486&lt;/section&gt;&lt;dates&gt;&lt;year&gt;2017&lt;/year&gt;&lt;/dates&gt;&lt;isbn&gt;03605442&lt;/isbn&gt;&lt;urls&gt;&lt;/urls&gt;&lt;electronic-resource-num&gt;10.1016/j.energy.2017.06.154&lt;/electronic-resource-num&gt;&lt;/record&gt;&lt;/Cite&gt;&lt;/EndNote&gt;</w:instrText>
      </w:r>
      <w:r>
        <w:rPr>
          <w:lang w:val="en-US"/>
        </w:rPr>
        <w:fldChar w:fldCharType="separate"/>
      </w:r>
      <w:r>
        <w:rPr>
          <w:noProof/>
          <w:lang w:val="en-US"/>
        </w:rPr>
        <w:t>[33]</w:t>
      </w:r>
      <w:r>
        <w:rPr>
          <w:lang w:val="en-US"/>
        </w:rPr>
        <w:fldChar w:fldCharType="end"/>
      </w:r>
      <w:r>
        <w:rPr>
          <w:lang w:val="en-US"/>
        </w:rPr>
        <w:t xml:space="preserve">, </w:t>
      </w:r>
      <w:r w:rsidRPr="00866253">
        <w:rPr>
          <w:lang w:val="en-US"/>
        </w:rPr>
        <w:t>which</w:t>
      </w:r>
      <w:r>
        <w:rPr>
          <w:lang w:val="en-US"/>
        </w:rPr>
        <w:t xml:space="preserve"> integrates electric and thermal loads and productions systems</w:t>
      </w:r>
      <w:r w:rsidRPr="00866253">
        <w:rPr>
          <w:lang w:val="en-US"/>
        </w:rPr>
        <w:t xml:space="preserve"> </w:t>
      </w:r>
      <w:r>
        <w:rPr>
          <w:lang w:val="en-US"/>
        </w:rPr>
        <w:fldChar w:fldCharType="begin"/>
      </w:r>
      <w:r>
        <w:rPr>
          <w:lang w:val="en-US"/>
        </w:rPr>
        <w:instrText xml:space="preserve"> ADDIN EN.CITE &lt;EndNote&gt;&lt;Cite&gt;&lt;Author&gt;Khare&lt;/Author&gt;&lt;Year&gt;2023&lt;/Year&gt;&lt;RecNum&gt;493&lt;/RecNum&gt;&lt;DisplayText&gt;[34]&lt;/DisplayText&gt;&lt;record&gt;&lt;rec-number&gt;493&lt;/rec-number&gt;&lt;foreign-keys&gt;&lt;key app="EN" db-id="zvr0eev5awpfx9e9faavww2prtw2dpd9r5dr" timestamp="1693990419"&gt;493&lt;/key&gt;&lt;/foreign-keys&gt;&lt;ref-type name="Journal Article"&gt;17&lt;/ref-type&gt;&lt;contributors&gt;&lt;authors&gt;&lt;author&gt;Khare, Vikas&lt;/author&gt;&lt;author&gt;Chaturvedi, Pradyumn&lt;/author&gt;&lt;/authors&gt;&lt;/contributors&gt;&lt;titles&gt;&lt;title&gt;Design, control, reliability, economic and energy management of microgrid: A review&lt;/title&gt;&lt;secondary-title&gt;e-Prime - Advances in Electrical Engineering, Electronics and Energy&lt;/secondary-title&gt;&lt;/titles&gt;&lt;periodical&gt;&lt;full-title&gt;e-Prime - Advances in Electrical Engineering, Electronics and Energy&lt;/full-title&gt;&lt;/periodical&gt;&lt;volume&gt;5&lt;/volume&gt;&lt;section&gt;100239&lt;/section&gt;&lt;dates&gt;&lt;year&gt;2023&lt;/year&gt;&lt;/dates&gt;&lt;isbn&gt;27726711&lt;/isbn&gt;&lt;urls&gt;&lt;/urls&gt;&lt;electronic-resource-num&gt;10.1016/j.prime.2023.100239&lt;/electronic-resource-num&gt;&lt;/record&gt;&lt;/Cite&gt;&lt;/EndNote&gt;</w:instrText>
      </w:r>
      <w:r>
        <w:rPr>
          <w:lang w:val="en-US"/>
        </w:rPr>
        <w:fldChar w:fldCharType="separate"/>
      </w:r>
      <w:r>
        <w:rPr>
          <w:noProof/>
          <w:lang w:val="en-US"/>
        </w:rPr>
        <w:t>[34]</w:t>
      </w:r>
      <w:r>
        <w:rPr>
          <w:lang w:val="en-US"/>
        </w:rPr>
        <w:fldChar w:fldCharType="end"/>
      </w:r>
      <w:r w:rsidRPr="00866253">
        <w:rPr>
          <w:lang w:val="en-US"/>
        </w:rPr>
        <w:t xml:space="preserve">. Managing </w:t>
      </w:r>
      <w:r w:rsidRPr="00866253">
        <w:rPr>
          <w:lang w:val="en-US"/>
        </w:rPr>
        <w:lastRenderedPageBreak/>
        <w:t xml:space="preserve">decentralized energy systems like microgrids is becoming increasingly complex, given that energy supply is only partially controllable due to the variable nature of renewable sources </w:t>
      </w:r>
      <w:r w:rsidRPr="00EF6EBF">
        <w:fldChar w:fldCharType="begin"/>
      </w:r>
      <w:r>
        <w:instrText xml:space="preserve"> ADDIN EN.CITE &lt;EndNote&gt;&lt;Cite&gt;&lt;Author&gt;Reynolds&lt;/Author&gt;&lt;Year&gt;2018&lt;/Year&gt;&lt;RecNum&gt;54&lt;/RecNum&gt;&lt;DisplayText&gt;[35]&lt;/DisplayText&gt;&lt;record&gt;&lt;rec-number&gt;54&lt;/rec-number&gt;&lt;foreign-keys&gt;&lt;key app="EN" db-id="zvr0eev5awpfx9e9faavww2prtw2dpd9r5dr" timestamp="1636359303" guid="32527ec3-e590-485d-950a-be39b489f867"&gt;54&lt;/key&gt;&lt;/foreign-keys&gt;&lt;ref-type name="Journal Article"&gt;17&lt;/ref-type&gt;&lt;contributors&gt;&lt;authors&gt;&lt;author&gt;Reynolds, Jonathan&lt;/author&gt;&lt;author&gt;Ahmad, Muhammad Waseem&lt;/author&gt;&lt;author&gt;Rezgui, Yacine&lt;/author&gt;&lt;/authors&gt;&lt;/contributors&gt;&lt;titles&gt;&lt;title&gt;Holistic modelling techniques for the operational optimisation of multi-vector energy systems&lt;/title&gt;&lt;secondary-title&gt;Energy and Buildings&lt;/secondary-title&gt;&lt;/titles&gt;&lt;periodical&gt;&lt;full-title&gt;Energy and Buildings&lt;/full-title&gt;&lt;/periodical&gt;&lt;pages&gt;397-416&lt;/pages&gt;&lt;volume&gt;169&lt;/volume&gt;&lt;section&gt;397&lt;/section&gt;&lt;dates&gt;&lt;year&gt;2018&lt;/year&gt;&lt;/dates&gt;&lt;isbn&gt;03787788&lt;/isbn&gt;&lt;urls&gt;&lt;/urls&gt;&lt;electronic-resource-num&gt;10.1016/j.enbuild.2018.03.065&lt;/electronic-resource-num&gt;&lt;/record&gt;&lt;/Cite&gt;&lt;/EndNote&gt;</w:instrText>
      </w:r>
      <w:r w:rsidRPr="00EF6EBF">
        <w:fldChar w:fldCharType="separate"/>
      </w:r>
      <w:r>
        <w:rPr>
          <w:noProof/>
        </w:rPr>
        <w:t>[35]</w:t>
      </w:r>
      <w:r w:rsidRPr="00EF6EBF">
        <w:fldChar w:fldCharType="end"/>
      </w:r>
      <w:r w:rsidRPr="00866253">
        <w:rPr>
          <w:lang w:val="en-US"/>
        </w:rPr>
        <w:t>.</w:t>
      </w:r>
    </w:p>
    <w:p w14:paraId="415939BB" w14:textId="6B0CDD27" w:rsidR="00111186" w:rsidRDefault="00111186" w:rsidP="00111186">
      <w:pPr>
        <w:ind w:firstLine="284"/>
        <w:rPr>
          <w:lang w:val="en-US"/>
        </w:rPr>
      </w:pP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3"/>
      </w:tblGrid>
      <w:tr w:rsidR="00111186" w14:paraId="0B3A6BEE" w14:textId="77777777" w:rsidTr="00F3570D">
        <w:tc>
          <w:tcPr>
            <w:tcW w:w="9061" w:type="dxa"/>
          </w:tcPr>
          <w:p w14:paraId="01789D62" w14:textId="77777777" w:rsidR="00111186" w:rsidRDefault="00111186" w:rsidP="00F3570D">
            <w:pPr>
              <w:pStyle w:val="FigureCaption"/>
              <w:spacing w:before="120"/>
              <w:ind w:left="0"/>
              <w:rPr>
                <w:rFonts w:ascii="Times New Roman" w:hAnsi="Times New Roman"/>
                <w:b/>
                <w:lang w:eastAsia="en-GB"/>
              </w:rPr>
            </w:pPr>
            <w:r w:rsidRPr="00101219">
              <w:rPr>
                <w:noProof/>
              </w:rPr>
              <w:drawing>
                <wp:inline distT="0" distB="0" distL="0" distR="0" wp14:anchorId="325D93C6" wp14:editId="66650B26">
                  <wp:extent cx="3906982" cy="224529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933203" cy="2260366"/>
                          </a:xfrm>
                          <a:prstGeom prst="rect">
                            <a:avLst/>
                          </a:prstGeom>
                          <a:noFill/>
                          <a:ln>
                            <a:noFill/>
                          </a:ln>
                        </pic:spPr>
                      </pic:pic>
                    </a:graphicData>
                  </a:graphic>
                </wp:inline>
              </w:drawing>
            </w:r>
          </w:p>
        </w:tc>
      </w:tr>
      <w:tr w:rsidR="00111186" w14:paraId="72DD644B" w14:textId="77777777" w:rsidTr="00F3570D">
        <w:tc>
          <w:tcPr>
            <w:tcW w:w="9061" w:type="dxa"/>
          </w:tcPr>
          <w:p w14:paraId="5B4B4D32" w14:textId="1CCC8524" w:rsidR="00111186" w:rsidRPr="00EF379B" w:rsidRDefault="00111186" w:rsidP="00F3570D">
            <w:pPr>
              <w:pStyle w:val="FigureCaption"/>
              <w:spacing w:before="120"/>
              <w:rPr>
                <w:rFonts w:ascii="Times New Roman" w:hAnsi="Times New Roman"/>
                <w:bCs/>
                <w:lang w:eastAsia="en-GB"/>
              </w:rPr>
            </w:pPr>
            <w:bookmarkStart w:id="10" w:name="_Ref144813751"/>
            <w:r w:rsidRPr="00B33F94">
              <w:rPr>
                <w:rFonts w:ascii="Times New Roman" w:hAnsi="Times New Roman"/>
                <w:b/>
                <w:lang w:eastAsia="en-GB"/>
              </w:rPr>
              <w:t xml:space="preserve">Figure </w:t>
            </w:r>
            <w:r w:rsidRPr="00B33F94">
              <w:rPr>
                <w:rFonts w:ascii="Times New Roman" w:hAnsi="Times New Roman"/>
                <w:b/>
                <w:lang w:eastAsia="en-GB"/>
              </w:rPr>
              <w:fldChar w:fldCharType="begin"/>
            </w:r>
            <w:r w:rsidRPr="00B33F94">
              <w:rPr>
                <w:rFonts w:ascii="Times New Roman" w:hAnsi="Times New Roman"/>
                <w:b/>
                <w:lang w:eastAsia="en-GB"/>
              </w:rPr>
              <w:instrText xml:space="preserve"> SEQ Figure \* ARABIC </w:instrText>
            </w:r>
            <w:r w:rsidRPr="00B33F94">
              <w:rPr>
                <w:rFonts w:ascii="Times New Roman" w:hAnsi="Times New Roman"/>
                <w:b/>
                <w:lang w:eastAsia="en-GB"/>
              </w:rPr>
              <w:fldChar w:fldCharType="separate"/>
            </w:r>
            <w:r w:rsidR="00CB2184">
              <w:rPr>
                <w:rFonts w:ascii="Times New Roman" w:hAnsi="Times New Roman"/>
                <w:b/>
                <w:noProof/>
                <w:lang w:eastAsia="en-GB"/>
              </w:rPr>
              <w:t>7</w:t>
            </w:r>
            <w:r w:rsidRPr="00B33F94">
              <w:rPr>
                <w:rFonts w:ascii="Times New Roman" w:hAnsi="Times New Roman"/>
                <w:b/>
                <w:lang w:eastAsia="en-GB"/>
              </w:rPr>
              <w:fldChar w:fldCharType="end"/>
            </w:r>
            <w:bookmarkEnd w:id="10"/>
            <w:r>
              <w:rPr>
                <w:rFonts w:ascii="Times New Roman" w:hAnsi="Times New Roman"/>
                <w:b/>
                <w:lang w:eastAsia="en-GB"/>
              </w:rPr>
              <w:t>.</w:t>
            </w:r>
            <w:r w:rsidRPr="00B33F94">
              <w:rPr>
                <w:rFonts w:ascii="Times New Roman" w:hAnsi="Times New Roman"/>
                <w:b/>
                <w:lang w:eastAsia="en-GB"/>
              </w:rPr>
              <w:t xml:space="preserve"> </w:t>
            </w:r>
            <w:r w:rsidRPr="00B33F94">
              <w:rPr>
                <w:rFonts w:ascii="Times New Roman" w:hAnsi="Times New Roman"/>
                <w:bCs/>
                <w:lang w:eastAsia="en-GB"/>
              </w:rPr>
              <w:t>Example of GUI in Excel of the ANN model.</w:t>
            </w:r>
          </w:p>
        </w:tc>
      </w:tr>
    </w:tbl>
    <w:p w14:paraId="23AB02E4" w14:textId="77777777" w:rsidR="009F16E7" w:rsidRDefault="009F16E7" w:rsidP="00111186">
      <w:pPr>
        <w:ind w:firstLine="284"/>
        <w:rPr>
          <w:lang w:val="en-US"/>
        </w:rPr>
      </w:pPr>
    </w:p>
    <w:p w14:paraId="255DEC24" w14:textId="79E5FF5A" w:rsidR="0034797B" w:rsidRPr="00866253" w:rsidRDefault="0034797B" w:rsidP="0034797B">
      <w:pPr>
        <w:ind w:firstLine="284"/>
        <w:rPr>
          <w:lang w:val="en-US"/>
        </w:rPr>
      </w:pPr>
      <w:r w:rsidRPr="00866253">
        <w:rPr>
          <w:lang w:val="en-US"/>
        </w:rPr>
        <w:t>These systems often consist of multiple production units that need to be managed and optimized in a holistic manner. Therefore, the model and methodology presented in this study serve as an initial step toward developing a comprehensive sub-model for a CO</w:t>
      </w:r>
      <w:r w:rsidRPr="00866253">
        <w:rPr>
          <w:vertAlign w:val="subscript"/>
          <w:lang w:val="en-US"/>
        </w:rPr>
        <w:t>2</w:t>
      </w:r>
      <w:r w:rsidRPr="00866253">
        <w:rPr>
          <w:lang w:val="en-US"/>
        </w:rPr>
        <w:t xml:space="preserve"> heat pump within a microgrid environment.</w:t>
      </w:r>
    </w:p>
    <w:p w14:paraId="054491CD" w14:textId="73A6AFA4" w:rsidR="00DD690D" w:rsidRDefault="00BA292E" w:rsidP="00DD690D">
      <w:pPr>
        <w:pStyle w:val="Section"/>
        <w:rPr>
          <w:rFonts w:ascii="Times New Roman" w:hAnsi="Times New Roman"/>
        </w:rPr>
      </w:pPr>
      <w:r>
        <w:rPr>
          <w:rFonts w:ascii="Times New Roman" w:hAnsi="Times New Roman"/>
        </w:rPr>
        <w:t>Conclusions</w:t>
      </w:r>
    </w:p>
    <w:p w14:paraId="6BFE630A" w14:textId="1CF93C13" w:rsidR="000A0094" w:rsidRDefault="005C039D" w:rsidP="001D0C63">
      <w:pPr>
        <w:rPr>
          <w:lang w:val="en-US"/>
        </w:rPr>
      </w:pPr>
      <w:bookmarkStart w:id="11" w:name="_Hlk144963331"/>
      <w:r w:rsidRPr="005C039D">
        <w:rPr>
          <w:lang w:val="en-US"/>
        </w:rPr>
        <w:t>This paper has introduced the development of an ANN model tailored for a small-scale CO</w:t>
      </w:r>
      <w:r w:rsidRPr="005C039D">
        <w:rPr>
          <w:vertAlign w:val="subscript"/>
          <w:lang w:val="en-US"/>
        </w:rPr>
        <w:t>2</w:t>
      </w:r>
      <w:r w:rsidRPr="005C039D">
        <w:rPr>
          <w:lang w:val="en-US"/>
        </w:rPr>
        <w:t xml:space="preserve"> heat pump. A profound understanding of the heat pump's behavior under variable inlet conditions provides designers and operators with insights essential for effectively managing these variations and building a robust energy system using the CO</w:t>
      </w:r>
      <w:r w:rsidRPr="005C039D">
        <w:rPr>
          <w:vertAlign w:val="subscript"/>
          <w:lang w:val="en-US"/>
        </w:rPr>
        <w:t>2</w:t>
      </w:r>
      <w:r w:rsidRPr="005C039D">
        <w:rPr>
          <w:lang w:val="en-US"/>
        </w:rPr>
        <w:t xml:space="preserve"> heat pump. Employing a set of easy-to-measure parameters, the model predicts the heat pump operations, achieving a MAPE below 6% across all outputs in the test set, with the same or superior accuracy during the practical evaluation. The limitation of the methodology </w:t>
      </w:r>
      <w:r w:rsidR="00E95D92">
        <w:rPr>
          <w:lang w:val="en-US"/>
        </w:rPr>
        <w:t>wa</w:t>
      </w:r>
      <w:r w:rsidRPr="005C039D">
        <w:rPr>
          <w:lang w:val="en-US"/>
        </w:rPr>
        <w:t>s documented when inlet parameters outside the bounds of the training set were used as input to the model</w:t>
      </w:r>
      <w:r w:rsidR="00E95D92">
        <w:rPr>
          <w:lang w:val="en-US"/>
        </w:rPr>
        <w:t>, with predictions deviating from the real operation.</w:t>
      </w:r>
      <w:r>
        <w:rPr>
          <w:lang w:val="en-US"/>
        </w:rPr>
        <w:t xml:space="preserve"> </w:t>
      </w:r>
    </w:p>
    <w:p w14:paraId="0C5D2A15" w14:textId="77777777" w:rsidR="000A0094" w:rsidRDefault="000A0094" w:rsidP="001C60EE">
      <w:pPr>
        <w:rPr>
          <w:lang w:val="en-US"/>
        </w:rPr>
      </w:pPr>
    </w:p>
    <w:p w14:paraId="0ECF4E65" w14:textId="2AC1D84E" w:rsidR="00E95D92" w:rsidRPr="009C37E1" w:rsidRDefault="00D537AC" w:rsidP="009C37E1">
      <w:pPr>
        <w:rPr>
          <w:b/>
          <w:bCs/>
        </w:rPr>
      </w:pPr>
      <w:r w:rsidRPr="009C37E1">
        <w:rPr>
          <w:b/>
          <w:bCs/>
        </w:rPr>
        <w:t>References</w:t>
      </w:r>
    </w:p>
    <w:p w14:paraId="6C24A247" w14:textId="07212F19" w:rsidR="009C37E1" w:rsidRPr="009C37E1" w:rsidRDefault="00401C25"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fldChar w:fldCharType="begin"/>
      </w:r>
      <w:r w:rsidRPr="009C37E1">
        <w:rPr>
          <w:rFonts w:ascii="SohoGothic" w:hAnsi="SohoGothic" w:cs="Helvetica"/>
          <w:color w:val="050F42"/>
          <w:sz w:val="21"/>
          <w:szCs w:val="21"/>
        </w:rPr>
        <w:instrText xml:space="preserve"> ADDIN EN.REFLIST </w:instrText>
      </w:r>
      <w:r w:rsidRPr="009C37E1">
        <w:rPr>
          <w:rFonts w:ascii="SohoGothic" w:hAnsi="SohoGothic" w:cs="Helvetica"/>
          <w:color w:val="050F42"/>
          <w:sz w:val="21"/>
          <w:szCs w:val="21"/>
        </w:rPr>
        <w:fldChar w:fldCharType="separate"/>
      </w:r>
      <w:r w:rsidR="009C37E1" w:rsidRPr="009C37E1">
        <w:rPr>
          <w:rFonts w:ascii="SohoGothic" w:hAnsi="SohoGothic" w:cs="Helvetica"/>
          <w:color w:val="050F42"/>
          <w:sz w:val="21"/>
          <w:szCs w:val="21"/>
        </w:rPr>
        <w:t>[1]</w:t>
      </w:r>
      <w:r w:rsidR="009C37E1">
        <w:rPr>
          <w:rFonts w:ascii="SohoGothic" w:hAnsi="SohoGothic" w:cs="Helvetica"/>
          <w:color w:val="050F42"/>
          <w:sz w:val="21"/>
          <w:szCs w:val="21"/>
        </w:rPr>
        <w:tab/>
      </w:r>
      <w:r w:rsidR="009C37E1" w:rsidRPr="009C37E1">
        <w:rPr>
          <w:rFonts w:ascii="SohoGothic" w:hAnsi="SohoGothic" w:cs="Helvetica"/>
          <w:color w:val="050F42"/>
          <w:sz w:val="21"/>
          <w:szCs w:val="21"/>
        </w:rPr>
        <w:t xml:space="preserve">IEA, Tracking Clean Energy Progress 2023, IEA, Paris, 2023. [Online]. Available: </w:t>
      </w:r>
      <w:hyperlink r:id="rId19" w:history="1">
        <w:r w:rsidR="009C37E1" w:rsidRPr="009C37E1">
          <w:rPr>
            <w:rFonts w:ascii="SohoGothic" w:hAnsi="SohoGothic" w:cs="Helvetica"/>
            <w:color w:val="050F42"/>
            <w:sz w:val="21"/>
            <w:szCs w:val="21"/>
          </w:rPr>
          <w:t>https://www.iea.org/reports/tracking-clean-energy-progress-2023</w:t>
        </w:r>
      </w:hyperlink>
      <w:r w:rsidR="009C37E1" w:rsidRPr="009C37E1">
        <w:rPr>
          <w:rFonts w:ascii="SohoGothic" w:hAnsi="SohoGothic" w:cs="Helvetica"/>
          <w:color w:val="050F42"/>
          <w:sz w:val="21"/>
          <w:szCs w:val="21"/>
        </w:rPr>
        <w:t>,</w:t>
      </w:r>
    </w:p>
    <w:p w14:paraId="47DCAB6F" w14:textId="0BD3E499"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[2]</w:t>
      </w:r>
      <w:r>
        <w:rPr>
          <w:rFonts w:ascii="SohoGothic" w:hAnsi="SohoGothic" w:cs="Helvetica"/>
          <w:color w:val="050F42"/>
          <w:sz w:val="21"/>
          <w:szCs w:val="21"/>
        </w:rPr>
        <w:tab/>
      </w:r>
      <w:r w:rsidRPr="009C37E1">
        <w:rPr>
          <w:rFonts w:ascii="SohoGothic" w:hAnsi="SohoGothic" w:cs="Helvetica"/>
          <w:color w:val="050F42"/>
          <w:sz w:val="21"/>
          <w:szCs w:val="21"/>
        </w:rPr>
        <w:t xml:space="preserve">IEA, Heating, Paris, 2022. [Online]. Available: </w:t>
      </w:r>
      <w:hyperlink r:id="rId20" w:history="1">
        <w:r w:rsidRPr="009C37E1">
          <w:rPr>
            <w:rFonts w:ascii="SohoGothic" w:hAnsi="SohoGothic" w:cs="Helvetica"/>
            <w:color w:val="050F42"/>
            <w:sz w:val="21"/>
            <w:szCs w:val="21"/>
          </w:rPr>
          <w:t>https://www.iea.org/reports/heating</w:t>
        </w:r>
      </w:hyperlink>
    </w:p>
    <w:p w14:paraId="7E11C821" w14:textId="1595B241"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[3]</w:t>
      </w:r>
      <w:r>
        <w:rPr>
          <w:rFonts w:ascii="SohoGothic" w:hAnsi="SohoGothic" w:cs="Helvetica"/>
          <w:color w:val="050F42"/>
          <w:sz w:val="21"/>
          <w:szCs w:val="21"/>
        </w:rPr>
        <w:tab/>
      </w:r>
      <w:r w:rsidRPr="009C37E1">
        <w:rPr>
          <w:rFonts w:ascii="SohoGothic" w:hAnsi="SohoGothic" w:cs="Helvetica"/>
          <w:color w:val="050F42"/>
          <w:sz w:val="21"/>
          <w:szCs w:val="21"/>
        </w:rPr>
        <w:t>Ivanko D, Walnum H T, and Nord N, Development and analysis of hourly DHW heat use profiles in nursing homes in Norway,"</w:t>
      </w:r>
      <w:r w:rsidRPr="00D77D99">
        <w:rPr>
          <w:rFonts w:ascii="SohoGothic" w:hAnsi="SohoGothic" w:cs="Helvetica"/>
          <w:i/>
          <w:iCs w:val="0"/>
          <w:color w:val="050F42"/>
          <w:sz w:val="21"/>
          <w:szCs w:val="21"/>
        </w:rPr>
        <w:t>Energy and Buildings,</w:t>
      </w:r>
      <w:r w:rsidRPr="009C37E1">
        <w:rPr>
          <w:rFonts w:ascii="SohoGothic" w:hAnsi="SohoGothic" w:cs="Helvetica"/>
          <w:color w:val="050F42"/>
          <w:sz w:val="21"/>
          <w:szCs w:val="21"/>
        </w:rPr>
        <w:t xml:space="preserve"> vol. 222, 2020, doi: 10.1016/j.enbuild.2020.110070.</w:t>
      </w:r>
    </w:p>
    <w:p w14:paraId="6DEE16E2" w14:textId="0C7CECB2"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[4]</w:t>
      </w:r>
      <w:r>
        <w:rPr>
          <w:rFonts w:ascii="SohoGothic" w:hAnsi="SohoGothic" w:cs="Helvetica"/>
          <w:color w:val="050F42"/>
          <w:sz w:val="21"/>
          <w:szCs w:val="21"/>
        </w:rPr>
        <w:tab/>
      </w:r>
      <w:r w:rsidRPr="009C37E1">
        <w:rPr>
          <w:rFonts w:ascii="SohoGothic" w:hAnsi="SohoGothic" w:cs="Helvetica"/>
          <w:color w:val="050F42"/>
          <w:sz w:val="21"/>
          <w:szCs w:val="21"/>
        </w:rPr>
        <w:t>Fuentes E, Arce L, and Salom J, A review of domestic hot water consumption profiles for application in systems and buildings energy performance analysis,"</w:t>
      </w:r>
      <w:r w:rsidRPr="00D77D99">
        <w:rPr>
          <w:rFonts w:ascii="SohoGothic" w:hAnsi="SohoGothic" w:cs="Helvetica"/>
          <w:i/>
          <w:iCs w:val="0"/>
          <w:color w:val="050F42"/>
          <w:sz w:val="21"/>
          <w:szCs w:val="21"/>
        </w:rPr>
        <w:t>Renewable and Sustainable Energy Reviews</w:t>
      </w:r>
      <w:r w:rsidRPr="009C37E1">
        <w:rPr>
          <w:rFonts w:ascii="SohoGothic" w:hAnsi="SohoGothic" w:cs="Helvetica"/>
          <w:color w:val="050F42"/>
          <w:sz w:val="21"/>
          <w:szCs w:val="21"/>
        </w:rPr>
        <w:t>, vol. 81, pp. 1530-1547, 2018, doi: 10.1016/j.rser.2017.05.229.</w:t>
      </w:r>
    </w:p>
    <w:p w14:paraId="5995F2BA" w14:textId="32A2BBB7"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[5]</w:t>
      </w:r>
      <w:r>
        <w:rPr>
          <w:rFonts w:ascii="SohoGothic" w:hAnsi="SohoGothic" w:cs="Helvetica"/>
          <w:color w:val="050F42"/>
          <w:sz w:val="21"/>
          <w:szCs w:val="21"/>
        </w:rPr>
        <w:tab/>
      </w:r>
      <w:r w:rsidRPr="009C37E1">
        <w:rPr>
          <w:rFonts w:ascii="SohoGothic" w:hAnsi="SohoGothic" w:cs="Helvetica"/>
          <w:color w:val="050F42"/>
          <w:sz w:val="21"/>
          <w:szCs w:val="21"/>
        </w:rPr>
        <w:t>Sarabia-Escriva E-J, Soto-Francés V-M, Pinazo-Ojer J-M, and Acha S, Economic and environmental analysis of domestic hot water systems for single-family homes</w:t>
      </w:r>
      <w:r w:rsidR="00D77D99">
        <w:rPr>
          <w:rFonts w:ascii="SohoGothic" w:hAnsi="SohoGothic" w:cs="Helvetica"/>
          <w:color w:val="050F42"/>
          <w:sz w:val="21"/>
          <w:szCs w:val="21"/>
        </w:rPr>
        <w:t>,</w:t>
      </w:r>
      <w:r w:rsidRPr="009C37E1">
        <w:rPr>
          <w:rFonts w:ascii="SohoGothic" w:hAnsi="SohoGothic" w:cs="Helvetica"/>
          <w:color w:val="050F42"/>
          <w:sz w:val="21"/>
          <w:szCs w:val="21"/>
        </w:rPr>
        <w:t xml:space="preserve"> </w:t>
      </w:r>
      <w:r w:rsidRPr="00D77D99">
        <w:rPr>
          <w:rFonts w:ascii="SohoGothic" w:hAnsi="SohoGothic" w:cs="Helvetica"/>
          <w:i/>
          <w:iCs w:val="0"/>
          <w:color w:val="050F42"/>
          <w:sz w:val="21"/>
          <w:szCs w:val="21"/>
        </w:rPr>
        <w:t>Energy and Buildings</w:t>
      </w:r>
      <w:r w:rsidRPr="009C37E1">
        <w:rPr>
          <w:rFonts w:ascii="SohoGothic" w:hAnsi="SohoGothic" w:cs="Helvetica"/>
          <w:color w:val="050F42"/>
          <w:sz w:val="21"/>
          <w:szCs w:val="21"/>
        </w:rPr>
        <w:t>, vol. 286, 2023, doi: 10.1016/j.enbuild.2023.112925.</w:t>
      </w:r>
    </w:p>
    <w:p w14:paraId="063C7FD4" w14:textId="5B829886"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[6]</w:t>
      </w:r>
      <w:r>
        <w:rPr>
          <w:rFonts w:ascii="SohoGothic" w:hAnsi="SohoGothic" w:cs="Helvetica"/>
          <w:color w:val="050F42"/>
          <w:sz w:val="21"/>
          <w:szCs w:val="21"/>
        </w:rPr>
        <w:tab/>
      </w:r>
      <w:r w:rsidRPr="009C37E1">
        <w:rPr>
          <w:rFonts w:ascii="SohoGothic" w:hAnsi="SohoGothic" w:cs="Helvetica"/>
          <w:color w:val="050F42"/>
          <w:sz w:val="21"/>
          <w:szCs w:val="21"/>
        </w:rPr>
        <w:t xml:space="preserve">Pomianowski M Z, Johra H, Marszal-Pomianowska A, and Zhang C, Sustainable and energy-efficient domestic hot water systems: A review, </w:t>
      </w:r>
      <w:r w:rsidRPr="00D77D99">
        <w:rPr>
          <w:rFonts w:ascii="SohoGothic" w:hAnsi="SohoGothic" w:cs="Helvetica"/>
          <w:i/>
          <w:iCs w:val="0"/>
          <w:color w:val="050F42"/>
          <w:sz w:val="21"/>
          <w:szCs w:val="21"/>
        </w:rPr>
        <w:t>Renewable and Sustainable Energy Reviews</w:t>
      </w:r>
      <w:r w:rsidRPr="009C37E1">
        <w:rPr>
          <w:rFonts w:ascii="SohoGothic" w:hAnsi="SohoGothic" w:cs="Helvetica"/>
          <w:color w:val="050F42"/>
          <w:sz w:val="21"/>
          <w:szCs w:val="21"/>
        </w:rPr>
        <w:t>, vol. 128, 2020, doi: 10.1016/j.rser.2020.109900.</w:t>
      </w:r>
    </w:p>
    <w:p w14:paraId="59E69E44" w14:textId="06E45A35"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[7]</w:t>
      </w:r>
      <w:r>
        <w:rPr>
          <w:rFonts w:ascii="SohoGothic" w:hAnsi="SohoGothic" w:cs="Helvetica"/>
          <w:color w:val="050F42"/>
          <w:sz w:val="21"/>
          <w:szCs w:val="21"/>
        </w:rPr>
        <w:tab/>
      </w:r>
      <w:r w:rsidRPr="009C37E1">
        <w:rPr>
          <w:rFonts w:ascii="SohoGothic" w:hAnsi="SohoGothic" w:cs="Helvetica"/>
          <w:color w:val="050F42"/>
          <w:sz w:val="21"/>
          <w:szCs w:val="21"/>
        </w:rPr>
        <w:t xml:space="preserve">Liu H, Katsura T, and Nagano K, An inverter-driven heat pump with a multi-tubular tube-in-tube heat </w:t>
      </w:r>
      <w:r w:rsidRPr="009C37E1">
        <w:rPr>
          <w:rFonts w:ascii="SohoGothic" w:hAnsi="SohoGothic" w:cs="Helvetica"/>
          <w:color w:val="050F42"/>
          <w:sz w:val="21"/>
          <w:szCs w:val="21"/>
        </w:rPr>
        <w:lastRenderedPageBreak/>
        <w:t xml:space="preserve">exchanger for domestic hot water supply, </w:t>
      </w:r>
      <w:r w:rsidRPr="00D77D99">
        <w:rPr>
          <w:rFonts w:ascii="SohoGothic" w:hAnsi="SohoGothic" w:cs="Helvetica"/>
          <w:i/>
          <w:iCs w:val="0"/>
          <w:color w:val="050F42"/>
          <w:sz w:val="21"/>
          <w:szCs w:val="21"/>
        </w:rPr>
        <w:t>Journal of Building Engineering</w:t>
      </w:r>
      <w:r w:rsidRPr="009C37E1">
        <w:rPr>
          <w:rFonts w:ascii="SohoGothic" w:hAnsi="SohoGothic" w:cs="Helvetica"/>
          <w:color w:val="050F42"/>
          <w:sz w:val="21"/>
          <w:szCs w:val="21"/>
        </w:rPr>
        <w:t>, vol. 54, 2022, doi: 10.1016/j.jobe.2022.104694.</w:t>
      </w:r>
    </w:p>
    <w:p w14:paraId="2002A73D" w14:textId="252AD339"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[8]</w:t>
      </w:r>
      <w:r>
        <w:rPr>
          <w:rFonts w:ascii="SohoGothic" w:hAnsi="SohoGothic" w:cs="Helvetica"/>
          <w:color w:val="050F42"/>
          <w:sz w:val="21"/>
          <w:szCs w:val="21"/>
        </w:rPr>
        <w:tab/>
      </w:r>
      <w:r w:rsidRPr="009C37E1">
        <w:rPr>
          <w:rFonts w:ascii="SohoGothic" w:hAnsi="SohoGothic" w:cs="Helvetica"/>
          <w:color w:val="050F42"/>
          <w:sz w:val="21"/>
          <w:szCs w:val="21"/>
        </w:rPr>
        <w:t xml:space="preserve">You T and Wang F, Green ground source heat pump using various low-global-warming-potential refrigerants: Thermal imbalance and long-term performance, </w:t>
      </w:r>
      <w:r w:rsidRPr="00D77D99">
        <w:rPr>
          <w:rFonts w:ascii="SohoGothic" w:hAnsi="SohoGothic" w:cs="Helvetica"/>
          <w:i/>
          <w:iCs w:val="0"/>
          <w:color w:val="050F42"/>
          <w:sz w:val="21"/>
          <w:szCs w:val="21"/>
        </w:rPr>
        <w:t>Renewable Energy</w:t>
      </w:r>
      <w:r w:rsidRPr="009C37E1">
        <w:rPr>
          <w:rFonts w:ascii="SohoGothic" w:hAnsi="SohoGothic" w:cs="Helvetica"/>
          <w:color w:val="050F42"/>
          <w:sz w:val="21"/>
          <w:szCs w:val="21"/>
        </w:rPr>
        <w:t>, vol. 210, pp. 159-173, 2023, doi: 10.1016/j.renene.2023.04.058.</w:t>
      </w:r>
    </w:p>
    <w:p w14:paraId="332327E7" w14:textId="5DBB8892"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[9]</w:t>
      </w:r>
      <w:r>
        <w:rPr>
          <w:rFonts w:ascii="SohoGothic" w:hAnsi="SohoGothic" w:cs="Helvetica"/>
          <w:color w:val="050F42"/>
          <w:sz w:val="21"/>
          <w:szCs w:val="21"/>
        </w:rPr>
        <w:tab/>
      </w:r>
      <w:r w:rsidRPr="009C37E1">
        <w:rPr>
          <w:rFonts w:ascii="SohoGothic" w:hAnsi="SohoGothic" w:cs="Helvetica"/>
          <w:color w:val="050F42"/>
          <w:sz w:val="21"/>
          <w:szCs w:val="21"/>
        </w:rPr>
        <w:t>Wu J, Sun S, Song Q, Sun D, Wang D, and Li J, Energy, exergy, exergoeconomic and environmental (4E) analysis of cascade heat pump, recuperative heat pump and carbon dioxide heat pump with different temperature lifts,</w:t>
      </w:r>
      <w:r w:rsidR="00D77D99">
        <w:rPr>
          <w:rFonts w:ascii="SohoGothic" w:hAnsi="SohoGothic" w:cs="Helvetica"/>
          <w:color w:val="050F42"/>
          <w:sz w:val="21"/>
          <w:szCs w:val="21"/>
        </w:rPr>
        <w:t xml:space="preserve"> </w:t>
      </w:r>
      <w:r w:rsidRPr="00D77D99">
        <w:rPr>
          <w:rFonts w:ascii="SohoGothic" w:hAnsi="SohoGothic" w:cs="Helvetica"/>
          <w:i/>
          <w:iCs w:val="0"/>
          <w:color w:val="050F42"/>
          <w:sz w:val="21"/>
          <w:szCs w:val="21"/>
        </w:rPr>
        <w:t>Renewable Energy</w:t>
      </w:r>
      <w:r w:rsidRPr="009C37E1">
        <w:rPr>
          <w:rFonts w:ascii="SohoGothic" w:hAnsi="SohoGothic" w:cs="Helvetica"/>
          <w:color w:val="050F42"/>
          <w:sz w:val="21"/>
          <w:szCs w:val="21"/>
        </w:rPr>
        <w:t>, vol. 207, pp. 407-421, 2023, doi: 10.1016/j.renene.2023.03.028.</w:t>
      </w:r>
    </w:p>
    <w:p w14:paraId="02E4EE5F" w14:textId="26E1EBCD"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[10]</w:t>
      </w:r>
      <w:r w:rsidR="00D77D99">
        <w:rPr>
          <w:rFonts w:ascii="SohoGothic" w:hAnsi="SohoGothic" w:cs="Helvetica"/>
          <w:color w:val="050F42"/>
          <w:sz w:val="21"/>
          <w:szCs w:val="21"/>
        </w:rPr>
        <w:tab/>
      </w:r>
      <w:r w:rsidRPr="009C37E1">
        <w:rPr>
          <w:rFonts w:ascii="SohoGothic" w:hAnsi="SohoGothic" w:cs="Helvetica"/>
          <w:color w:val="050F42"/>
          <w:sz w:val="21"/>
          <w:szCs w:val="21"/>
        </w:rPr>
        <w:t>Legionellaveilederen - Fordelingsnett til dusjer og andre aerosoldannende tappepunkter, N.-N. I. o. P. Health, 2020.</w:t>
      </w:r>
    </w:p>
    <w:p w14:paraId="356A556C" w14:textId="174E6930"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[11]</w:t>
      </w:r>
      <w:r>
        <w:rPr>
          <w:rFonts w:ascii="SohoGothic" w:hAnsi="SohoGothic" w:cs="Helvetica"/>
          <w:color w:val="050F42"/>
          <w:sz w:val="21"/>
          <w:szCs w:val="21"/>
        </w:rPr>
        <w:tab/>
      </w:r>
      <w:r w:rsidRPr="009C37E1">
        <w:rPr>
          <w:rFonts w:ascii="SohoGothic" w:hAnsi="SohoGothic" w:cs="Helvetica"/>
          <w:color w:val="050F42"/>
          <w:sz w:val="21"/>
          <w:szCs w:val="21"/>
        </w:rPr>
        <w:t xml:space="preserve">Toffanin R, Curti V, and Barbato M C, Impact of Legionella regulation on a 4th generation district heating substation energy use and cost: the case of a Swiss single-family household, </w:t>
      </w:r>
      <w:r w:rsidRPr="00D77D99">
        <w:rPr>
          <w:rFonts w:ascii="SohoGothic" w:hAnsi="SohoGothic" w:cs="Helvetica"/>
          <w:i/>
          <w:iCs w:val="0"/>
          <w:color w:val="050F42"/>
          <w:sz w:val="21"/>
          <w:szCs w:val="21"/>
        </w:rPr>
        <w:t>Energy</w:t>
      </w:r>
      <w:r w:rsidRPr="009C37E1">
        <w:rPr>
          <w:rFonts w:ascii="SohoGothic" w:hAnsi="SohoGothic" w:cs="Helvetica"/>
          <w:color w:val="050F42"/>
          <w:sz w:val="21"/>
          <w:szCs w:val="21"/>
        </w:rPr>
        <w:t>, vol. 228, 2021, doi: 10.1016/j.energy.2021.120473.</w:t>
      </w:r>
    </w:p>
    <w:p w14:paraId="1C6CB7E7" w14:textId="6D42DD13"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[12]</w:t>
      </w:r>
      <w:r>
        <w:rPr>
          <w:rFonts w:ascii="SohoGothic" w:hAnsi="SohoGothic" w:cs="Helvetica"/>
          <w:color w:val="050F42"/>
          <w:sz w:val="21"/>
          <w:szCs w:val="21"/>
        </w:rPr>
        <w:tab/>
      </w:r>
      <w:r w:rsidRPr="009C37E1">
        <w:rPr>
          <w:rFonts w:ascii="SohoGothic" w:hAnsi="SohoGothic" w:cs="Helvetica"/>
          <w:color w:val="050F42"/>
          <w:sz w:val="21"/>
          <w:szCs w:val="21"/>
        </w:rPr>
        <w:t xml:space="preserve">Abas N, Kalair A R, Khan N, Haider A, Saleem Z, and Saleem M S, Natural and synthetic refrigerants, global warming: A review, </w:t>
      </w:r>
      <w:r w:rsidRPr="00D77D99">
        <w:rPr>
          <w:rFonts w:ascii="SohoGothic" w:hAnsi="SohoGothic" w:cs="Helvetica"/>
          <w:i/>
          <w:iCs w:val="0"/>
          <w:color w:val="050F42"/>
          <w:sz w:val="21"/>
          <w:szCs w:val="21"/>
        </w:rPr>
        <w:t>Renewable and Sustainable Energy Reviews</w:t>
      </w:r>
      <w:r w:rsidRPr="009C37E1">
        <w:rPr>
          <w:rFonts w:ascii="SohoGothic" w:hAnsi="SohoGothic" w:cs="Helvetica"/>
          <w:color w:val="050F42"/>
          <w:sz w:val="21"/>
          <w:szCs w:val="21"/>
        </w:rPr>
        <w:t>, vol. 90, pp. 557-569, 2018, doi: 10.1016/j.rser.2018.03.099.</w:t>
      </w:r>
    </w:p>
    <w:p w14:paraId="4F720EF0" w14:textId="4EF9EDDF"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[13]</w:t>
      </w:r>
      <w:r>
        <w:rPr>
          <w:rFonts w:ascii="SohoGothic" w:hAnsi="SohoGothic" w:cs="Helvetica"/>
          <w:color w:val="050F42"/>
          <w:sz w:val="21"/>
          <w:szCs w:val="21"/>
        </w:rPr>
        <w:tab/>
      </w:r>
      <w:r w:rsidRPr="009C37E1">
        <w:rPr>
          <w:rFonts w:ascii="SohoGothic" w:hAnsi="SohoGothic" w:cs="Helvetica"/>
          <w:color w:val="050F42"/>
          <w:sz w:val="21"/>
          <w:szCs w:val="21"/>
        </w:rPr>
        <w:t>Xu Y, Mao C, Huang Y, Shen X, Xu X, and Chen G, Performance evaluation and multi-objective optimization of a low-temperature CO2 heat pump water heater based on artificial neural network and new economic analysis,</w:t>
      </w:r>
      <w:r w:rsidRPr="00D77D99">
        <w:rPr>
          <w:rFonts w:ascii="SohoGothic" w:hAnsi="SohoGothic" w:cs="Helvetica"/>
          <w:i/>
          <w:iCs w:val="0"/>
          <w:color w:val="050F42"/>
          <w:sz w:val="21"/>
          <w:szCs w:val="21"/>
        </w:rPr>
        <w:t xml:space="preserve"> Energy</w:t>
      </w:r>
      <w:r w:rsidRPr="009C37E1">
        <w:rPr>
          <w:rFonts w:ascii="SohoGothic" w:hAnsi="SohoGothic" w:cs="Helvetica"/>
          <w:color w:val="050F42"/>
          <w:sz w:val="21"/>
          <w:szCs w:val="21"/>
        </w:rPr>
        <w:t>, vol. 216, 2021, doi: 10.1016/j.energy.2020.119232.</w:t>
      </w:r>
    </w:p>
    <w:p w14:paraId="40B2F4BA" w14:textId="33EED2DB"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[14]</w:t>
      </w:r>
      <w:r>
        <w:rPr>
          <w:rFonts w:ascii="SohoGothic" w:hAnsi="SohoGothic" w:cs="Helvetica"/>
          <w:color w:val="050F42"/>
          <w:sz w:val="21"/>
          <w:szCs w:val="21"/>
        </w:rPr>
        <w:tab/>
      </w:r>
      <w:r w:rsidRPr="009C37E1">
        <w:rPr>
          <w:rFonts w:ascii="SohoGothic" w:hAnsi="SohoGothic" w:cs="Helvetica"/>
          <w:color w:val="050F42"/>
          <w:sz w:val="21"/>
          <w:szCs w:val="21"/>
        </w:rPr>
        <w:t xml:space="preserve">Brodal E and Jackson S, A comparative study of CO2 heat pump performance for combined space and hot water heating, </w:t>
      </w:r>
      <w:r w:rsidRPr="00D77D99">
        <w:rPr>
          <w:rFonts w:ascii="SohoGothic" w:hAnsi="SohoGothic" w:cs="Helvetica"/>
          <w:i/>
          <w:iCs w:val="0"/>
          <w:color w:val="050F42"/>
          <w:sz w:val="21"/>
          <w:szCs w:val="21"/>
        </w:rPr>
        <w:t>International Journal of Refrigeration</w:t>
      </w:r>
      <w:r w:rsidRPr="009C37E1">
        <w:rPr>
          <w:rFonts w:ascii="SohoGothic" w:hAnsi="SohoGothic" w:cs="Helvetica"/>
          <w:color w:val="050F42"/>
          <w:sz w:val="21"/>
          <w:szCs w:val="21"/>
        </w:rPr>
        <w:t>, vol. 108, pp. 234-245, 2019, doi: 10.1016/j.ijrefrig.2019.08.019.</w:t>
      </w:r>
    </w:p>
    <w:p w14:paraId="489CDC92" w14:textId="08C46EAB"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[15]</w:t>
      </w:r>
      <w:r>
        <w:rPr>
          <w:rFonts w:ascii="SohoGothic" w:hAnsi="SohoGothic" w:cs="Helvetica"/>
          <w:color w:val="050F42"/>
          <w:sz w:val="21"/>
          <w:szCs w:val="21"/>
        </w:rPr>
        <w:tab/>
      </w:r>
      <w:r w:rsidRPr="009C37E1">
        <w:rPr>
          <w:rFonts w:ascii="SohoGothic" w:hAnsi="SohoGothic" w:cs="Helvetica"/>
          <w:color w:val="050F42"/>
          <w:sz w:val="21"/>
          <w:szCs w:val="21"/>
        </w:rPr>
        <w:t>Dudita M and Kauffeld M. Environmental impact of HFO refrigerants &amp;alternatives for the future. Open Access Government. (accessed.</w:t>
      </w:r>
    </w:p>
    <w:p w14:paraId="1C96FF9C" w14:textId="22A13AF2"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[16]</w:t>
      </w:r>
      <w:r>
        <w:rPr>
          <w:rFonts w:ascii="SohoGothic" w:hAnsi="SohoGothic" w:cs="Helvetica"/>
          <w:color w:val="050F42"/>
          <w:sz w:val="21"/>
          <w:szCs w:val="21"/>
        </w:rPr>
        <w:tab/>
      </w:r>
      <w:r w:rsidRPr="009C37E1">
        <w:rPr>
          <w:rFonts w:ascii="SohoGothic" w:hAnsi="SohoGothic" w:cs="Helvetica"/>
          <w:color w:val="050F42"/>
          <w:sz w:val="21"/>
          <w:szCs w:val="21"/>
        </w:rPr>
        <w:t xml:space="preserve">Mancinelli C, Manno M, Salvatori M, and Zaccagnini A, Thermal Energy Storage as a Way to Improve Transcritical CO2 Heat Pump Performance by Means of Heat Recovery Cycles, </w:t>
      </w:r>
      <w:r w:rsidRPr="00D77D99">
        <w:rPr>
          <w:rFonts w:ascii="SohoGothic" w:hAnsi="SohoGothic" w:cs="Helvetica"/>
          <w:i/>
          <w:iCs w:val="0"/>
          <w:color w:val="050F42"/>
          <w:sz w:val="21"/>
          <w:szCs w:val="21"/>
        </w:rPr>
        <w:t>Energy Storage and Saving</w:t>
      </w:r>
      <w:r w:rsidRPr="009C37E1">
        <w:rPr>
          <w:rFonts w:ascii="SohoGothic" w:hAnsi="SohoGothic" w:cs="Helvetica"/>
          <w:color w:val="050F42"/>
          <w:sz w:val="21"/>
          <w:szCs w:val="21"/>
        </w:rPr>
        <w:t>, 2023, doi: 10.1016/j.enss.2023.06.003.</w:t>
      </w:r>
    </w:p>
    <w:p w14:paraId="74D345F9" w14:textId="407381EE"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[17]</w:t>
      </w:r>
      <w:r>
        <w:rPr>
          <w:rFonts w:ascii="SohoGothic" w:hAnsi="SohoGothic" w:cs="Helvetica"/>
          <w:color w:val="050F42"/>
          <w:sz w:val="21"/>
          <w:szCs w:val="21"/>
        </w:rPr>
        <w:tab/>
      </w:r>
      <w:r w:rsidRPr="009C37E1">
        <w:rPr>
          <w:rFonts w:ascii="SohoGothic" w:hAnsi="SohoGothic" w:cs="Helvetica"/>
          <w:color w:val="050F42"/>
          <w:sz w:val="21"/>
          <w:szCs w:val="21"/>
        </w:rPr>
        <w:t xml:space="preserve">Ciconkov R, Refrigerants: There is still no vision for sustainable solutions, </w:t>
      </w:r>
      <w:r w:rsidRPr="00D77D99">
        <w:rPr>
          <w:rFonts w:ascii="SohoGothic" w:hAnsi="SohoGothic" w:cs="Helvetica"/>
          <w:i/>
          <w:iCs w:val="0"/>
          <w:color w:val="050F42"/>
          <w:sz w:val="21"/>
          <w:szCs w:val="21"/>
        </w:rPr>
        <w:t>International Journal of Refrigeration</w:t>
      </w:r>
      <w:r w:rsidRPr="009C37E1">
        <w:rPr>
          <w:rFonts w:ascii="SohoGothic" w:hAnsi="SohoGothic" w:cs="Helvetica"/>
          <w:color w:val="050F42"/>
          <w:sz w:val="21"/>
          <w:szCs w:val="21"/>
        </w:rPr>
        <w:t>, vol. 86, pp. 441-448, 2018, doi: 10.1016/j.ijrefrig.2017.12.006.</w:t>
      </w:r>
    </w:p>
    <w:p w14:paraId="1E4CED7D" w14:textId="4E23E551"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[18]</w:t>
      </w:r>
      <w:r>
        <w:rPr>
          <w:rFonts w:ascii="SohoGothic" w:hAnsi="SohoGothic" w:cs="Helvetica"/>
          <w:color w:val="050F42"/>
          <w:sz w:val="21"/>
          <w:szCs w:val="21"/>
        </w:rPr>
        <w:tab/>
      </w:r>
      <w:r w:rsidRPr="009C37E1">
        <w:rPr>
          <w:rFonts w:ascii="SohoGothic" w:hAnsi="SohoGothic" w:cs="Helvetica"/>
          <w:color w:val="050F42"/>
          <w:sz w:val="21"/>
          <w:szCs w:val="21"/>
        </w:rPr>
        <w:t xml:space="preserve">Zhao X-X, He Y-J, Cheng J-H, and Zhang C-L, Long-term performance evaluation of CO2 heat pump water heater under different discharge pressure control strategies, </w:t>
      </w:r>
      <w:r w:rsidRPr="00D77D99">
        <w:rPr>
          <w:rFonts w:ascii="SohoGothic" w:hAnsi="SohoGothic" w:cs="Helvetica"/>
          <w:i/>
          <w:iCs w:val="0"/>
          <w:color w:val="050F42"/>
          <w:sz w:val="21"/>
          <w:szCs w:val="21"/>
        </w:rPr>
        <w:t>Applied Thermal Engineering</w:t>
      </w:r>
      <w:r w:rsidRPr="009C37E1">
        <w:rPr>
          <w:rFonts w:ascii="SohoGothic" w:hAnsi="SohoGothic" w:cs="Helvetica"/>
          <w:color w:val="050F42"/>
          <w:sz w:val="21"/>
          <w:szCs w:val="21"/>
        </w:rPr>
        <w:t>, vol. 222, 2023, doi: 10.1016/j.applthermaleng.2022.119918.</w:t>
      </w:r>
    </w:p>
    <w:p w14:paraId="09669477" w14:textId="60EF963B"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[19]</w:t>
      </w:r>
      <w:r>
        <w:rPr>
          <w:rFonts w:ascii="SohoGothic" w:hAnsi="SohoGothic" w:cs="Helvetica"/>
          <w:color w:val="050F42"/>
          <w:sz w:val="21"/>
          <w:szCs w:val="21"/>
        </w:rPr>
        <w:tab/>
      </w:r>
      <w:r w:rsidRPr="009C37E1">
        <w:rPr>
          <w:rFonts w:ascii="SohoGothic" w:hAnsi="SohoGothic" w:cs="Helvetica"/>
          <w:color w:val="050F42"/>
          <w:sz w:val="21"/>
          <w:szCs w:val="21"/>
        </w:rPr>
        <w:t xml:space="preserve">Lorentzen G, Revival of carbon dioxide as a refrigerant, </w:t>
      </w:r>
      <w:r w:rsidRPr="00D77D99">
        <w:rPr>
          <w:rFonts w:ascii="SohoGothic" w:hAnsi="SohoGothic" w:cs="Helvetica"/>
          <w:i/>
          <w:iCs w:val="0"/>
          <w:color w:val="050F42"/>
          <w:sz w:val="21"/>
          <w:szCs w:val="21"/>
        </w:rPr>
        <w:t>International Journal of Refrigeration</w:t>
      </w:r>
      <w:r w:rsidRPr="009C37E1">
        <w:rPr>
          <w:rFonts w:ascii="SohoGothic" w:hAnsi="SohoGothic" w:cs="Helvetica"/>
          <w:color w:val="050F42"/>
          <w:sz w:val="21"/>
          <w:szCs w:val="21"/>
        </w:rPr>
        <w:t xml:space="preserve">, vol. 17, no. 5, pp. 292-301, 1994, doi: </w:t>
      </w:r>
      <w:hyperlink r:id="rId21" w:history="1">
        <w:r w:rsidRPr="009C37E1">
          <w:rPr>
            <w:rFonts w:ascii="SohoGothic" w:hAnsi="SohoGothic" w:cs="Helvetica"/>
            <w:color w:val="050F42"/>
            <w:sz w:val="21"/>
            <w:szCs w:val="21"/>
          </w:rPr>
          <w:t>https://doi.org/10.1016/0140-7007(94)90059-0</w:t>
        </w:r>
      </w:hyperlink>
      <w:r w:rsidRPr="009C37E1">
        <w:rPr>
          <w:rFonts w:ascii="SohoGothic" w:hAnsi="SohoGothic" w:cs="Helvetica"/>
          <w:color w:val="050F42"/>
          <w:sz w:val="21"/>
          <w:szCs w:val="21"/>
        </w:rPr>
        <w:t>.</w:t>
      </w:r>
    </w:p>
    <w:p w14:paraId="5E6712FD" w14:textId="15B6F876"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[20]</w:t>
      </w:r>
      <w:r>
        <w:rPr>
          <w:rFonts w:ascii="SohoGothic" w:hAnsi="SohoGothic" w:cs="Helvetica"/>
          <w:color w:val="050F42"/>
          <w:sz w:val="21"/>
          <w:szCs w:val="21"/>
        </w:rPr>
        <w:tab/>
      </w:r>
      <w:r w:rsidRPr="009C37E1">
        <w:rPr>
          <w:rFonts w:ascii="SohoGothic" w:hAnsi="SohoGothic" w:cs="Helvetica"/>
          <w:color w:val="050F42"/>
          <w:sz w:val="21"/>
          <w:szCs w:val="21"/>
        </w:rPr>
        <w:t xml:space="preserve">Stene J, Residential CO2 Heat Pump System for Combined Space Heating and Hot Water Heating, Degree of Doktor Ingeniør, Department of Energy and Process Engineering, NTNU - Norwegian University of Science and Technology Faculty of Engineering Science and Technology, 2004. </w:t>
      </w:r>
    </w:p>
    <w:p w14:paraId="4721BA60" w14:textId="23BAB943"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[21]</w:t>
      </w:r>
      <w:r>
        <w:rPr>
          <w:rFonts w:ascii="SohoGothic" w:hAnsi="SohoGothic" w:cs="Helvetica"/>
          <w:color w:val="050F42"/>
          <w:sz w:val="21"/>
          <w:szCs w:val="21"/>
        </w:rPr>
        <w:tab/>
      </w:r>
      <w:r w:rsidRPr="009C37E1">
        <w:rPr>
          <w:rFonts w:ascii="SohoGothic" w:hAnsi="SohoGothic" w:cs="Helvetica"/>
          <w:color w:val="050F42"/>
          <w:sz w:val="21"/>
          <w:szCs w:val="21"/>
        </w:rPr>
        <w:t xml:space="preserve">Cheng J-H, He Y-J, and Zhang C-L, New scenario of CO2 heat pump for space heating: Automatic mode switch between modified transcritical and cascade cycle in one system, </w:t>
      </w:r>
      <w:r w:rsidRPr="00D77D99">
        <w:rPr>
          <w:rFonts w:ascii="SohoGothic" w:hAnsi="SohoGothic" w:cs="Helvetica"/>
          <w:i/>
          <w:iCs w:val="0"/>
          <w:color w:val="050F42"/>
          <w:sz w:val="21"/>
          <w:szCs w:val="21"/>
        </w:rPr>
        <w:t>Applied Thermal Engineering</w:t>
      </w:r>
      <w:r w:rsidRPr="009C37E1">
        <w:rPr>
          <w:rFonts w:ascii="SohoGothic" w:hAnsi="SohoGothic" w:cs="Helvetica"/>
          <w:color w:val="050F42"/>
          <w:sz w:val="21"/>
          <w:szCs w:val="21"/>
        </w:rPr>
        <w:t>, vol. 191, 2021, doi: 10.1016/j.applthermaleng.2021.116864.</w:t>
      </w:r>
    </w:p>
    <w:p w14:paraId="021E928C" w14:textId="421A48AF"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[22]</w:t>
      </w:r>
      <w:r>
        <w:rPr>
          <w:rFonts w:ascii="SohoGothic" w:hAnsi="SohoGothic" w:cs="Helvetica"/>
          <w:color w:val="050F42"/>
          <w:sz w:val="21"/>
          <w:szCs w:val="21"/>
        </w:rPr>
        <w:tab/>
      </w:r>
      <w:r w:rsidRPr="009C37E1">
        <w:rPr>
          <w:rFonts w:ascii="SohoGothic" w:hAnsi="SohoGothic" w:cs="Helvetica"/>
          <w:color w:val="050F42"/>
          <w:sz w:val="21"/>
          <w:szCs w:val="21"/>
        </w:rPr>
        <w:t xml:space="preserve">Østergaard D S, Smith K M, Tunzi M, and Svendsen S, Low-temperature operation of heating systems to enable 4th generation district heating: A review, </w:t>
      </w:r>
      <w:r w:rsidRPr="00D77D99">
        <w:rPr>
          <w:rFonts w:ascii="SohoGothic" w:hAnsi="SohoGothic" w:cs="Helvetica"/>
          <w:i/>
          <w:iCs w:val="0"/>
          <w:color w:val="050F42"/>
          <w:sz w:val="21"/>
          <w:szCs w:val="21"/>
        </w:rPr>
        <w:t>Energy</w:t>
      </w:r>
      <w:r w:rsidRPr="009C37E1">
        <w:rPr>
          <w:rFonts w:ascii="SohoGothic" w:hAnsi="SohoGothic" w:cs="Helvetica"/>
          <w:color w:val="050F42"/>
          <w:sz w:val="21"/>
          <w:szCs w:val="21"/>
        </w:rPr>
        <w:t>, vol. 248, 2022, doi: 10.1016/j.energy.2022.123529.</w:t>
      </w:r>
    </w:p>
    <w:p w14:paraId="34D08048" w14:textId="0A8FAB9C"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[23]</w:t>
      </w:r>
      <w:r>
        <w:rPr>
          <w:rFonts w:ascii="SohoGothic" w:hAnsi="SohoGothic" w:cs="Helvetica"/>
          <w:color w:val="050F42"/>
          <w:sz w:val="21"/>
          <w:szCs w:val="21"/>
        </w:rPr>
        <w:tab/>
      </w:r>
      <w:r w:rsidRPr="009C37E1">
        <w:rPr>
          <w:rFonts w:ascii="SohoGothic" w:hAnsi="SohoGothic" w:cs="Helvetica"/>
          <w:color w:val="050F42"/>
          <w:sz w:val="21"/>
          <w:szCs w:val="21"/>
        </w:rPr>
        <w:t xml:space="preserve">Maratou A, Lira J T, Jia H, and Masson N. CO2 heat pumps in europe - market dynamics &amp; legislative opportunities. (2012). </w:t>
      </w:r>
      <w:r w:rsidRPr="00D77D99">
        <w:rPr>
          <w:rFonts w:ascii="SohoGothic" w:hAnsi="SohoGothic" w:cs="Helvetica"/>
          <w:i/>
          <w:iCs w:val="0"/>
          <w:color w:val="050F42"/>
          <w:sz w:val="21"/>
          <w:szCs w:val="21"/>
        </w:rPr>
        <w:t>REHVA Journal</w:t>
      </w:r>
      <w:r w:rsidRPr="009C37E1">
        <w:rPr>
          <w:rFonts w:ascii="SohoGothic" w:hAnsi="SohoGothic" w:cs="Helvetica"/>
          <w:color w:val="050F42"/>
          <w:sz w:val="21"/>
          <w:szCs w:val="21"/>
        </w:rPr>
        <w:t xml:space="preserve">: Shecco publications. </w:t>
      </w:r>
    </w:p>
    <w:p w14:paraId="56154FA5" w14:textId="4A612963"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[24]</w:t>
      </w:r>
      <w:r>
        <w:rPr>
          <w:rFonts w:ascii="SohoGothic" w:hAnsi="SohoGothic" w:cs="Helvetica"/>
          <w:color w:val="050F42"/>
          <w:sz w:val="21"/>
          <w:szCs w:val="21"/>
        </w:rPr>
        <w:tab/>
      </w:r>
      <w:r w:rsidRPr="009C37E1">
        <w:rPr>
          <w:rFonts w:ascii="SohoGothic" w:hAnsi="SohoGothic" w:cs="Helvetica"/>
          <w:color w:val="050F42"/>
          <w:sz w:val="21"/>
          <w:szCs w:val="21"/>
        </w:rPr>
        <w:t xml:space="preserve">Karampour M and Sawalha S, State-of-the-art integrated CO2 refrigeration system for supermarkets: A comparative analysis, </w:t>
      </w:r>
      <w:r w:rsidRPr="00D77D99">
        <w:rPr>
          <w:rFonts w:ascii="SohoGothic" w:hAnsi="SohoGothic" w:cs="Helvetica"/>
          <w:i/>
          <w:iCs w:val="0"/>
          <w:color w:val="050F42"/>
          <w:sz w:val="21"/>
          <w:szCs w:val="21"/>
        </w:rPr>
        <w:t>International Journal of Refrigeration</w:t>
      </w:r>
      <w:r w:rsidRPr="009C37E1">
        <w:rPr>
          <w:rFonts w:ascii="SohoGothic" w:hAnsi="SohoGothic" w:cs="Helvetica"/>
          <w:color w:val="050F42"/>
          <w:sz w:val="21"/>
          <w:szCs w:val="21"/>
        </w:rPr>
        <w:t>, vol. 86, pp. 239-257, 2018, doi: 10.1016/j.ijrefrig.2017.11.006.</w:t>
      </w:r>
    </w:p>
    <w:p w14:paraId="6A4369AA" w14:textId="49972AF0"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[25]</w:t>
      </w:r>
      <w:r>
        <w:rPr>
          <w:rFonts w:ascii="SohoGothic" w:hAnsi="SohoGothic" w:cs="Helvetica"/>
          <w:color w:val="050F42"/>
          <w:sz w:val="21"/>
          <w:szCs w:val="21"/>
        </w:rPr>
        <w:tab/>
      </w:r>
      <w:r w:rsidRPr="009C37E1">
        <w:rPr>
          <w:rFonts w:ascii="SohoGothic" w:hAnsi="SohoGothic" w:cs="Helvetica"/>
          <w:color w:val="050F42"/>
          <w:sz w:val="21"/>
          <w:szCs w:val="21"/>
        </w:rPr>
        <w:t>Market Data Forecast, CO2 Heat Pump Water Heater Market Research Report - Segmentation by  Product (Air Source and Water Source); By Application (Residential, Commercial and Industrial) and Region - Industry Forecast of 2023 to 2028,</w:t>
      </w:r>
      <w:r w:rsidRPr="00D77D99">
        <w:rPr>
          <w:rFonts w:ascii="SohoGothic" w:hAnsi="SohoGothic" w:cs="Helvetica"/>
          <w:i/>
          <w:iCs w:val="0"/>
          <w:color w:val="050F42"/>
          <w:sz w:val="21"/>
          <w:szCs w:val="21"/>
        </w:rPr>
        <w:t xml:space="preserve"> Market Data Forecast</w:t>
      </w:r>
      <w:r w:rsidRPr="009C37E1">
        <w:rPr>
          <w:rFonts w:ascii="SohoGothic" w:hAnsi="SohoGothic" w:cs="Helvetica"/>
          <w:color w:val="050F42"/>
          <w:sz w:val="21"/>
          <w:szCs w:val="21"/>
        </w:rPr>
        <w:t xml:space="preserve">, 2023. </w:t>
      </w:r>
    </w:p>
    <w:p w14:paraId="0084CDCF" w14:textId="72BB42A0"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[26]</w:t>
      </w:r>
      <w:r>
        <w:rPr>
          <w:rFonts w:ascii="SohoGothic" w:hAnsi="SohoGothic" w:cs="Helvetica"/>
          <w:color w:val="050F42"/>
          <w:sz w:val="21"/>
          <w:szCs w:val="21"/>
        </w:rPr>
        <w:tab/>
      </w:r>
      <w:r w:rsidRPr="009C37E1">
        <w:rPr>
          <w:rFonts w:ascii="SohoGothic" w:hAnsi="SohoGothic" w:cs="Helvetica"/>
          <w:color w:val="050F42"/>
          <w:sz w:val="21"/>
          <w:szCs w:val="21"/>
        </w:rPr>
        <w:t xml:space="preserve">Deb C and Schlueter A, Review of data-driven energy modelling techniques for building retrofit, </w:t>
      </w:r>
      <w:r w:rsidRPr="00D77D99">
        <w:rPr>
          <w:rFonts w:ascii="SohoGothic" w:hAnsi="SohoGothic" w:cs="Helvetica"/>
          <w:i/>
          <w:iCs w:val="0"/>
          <w:color w:val="050F42"/>
          <w:sz w:val="21"/>
          <w:szCs w:val="21"/>
        </w:rPr>
        <w:t>Renewable and Sustainable Energy Reviews</w:t>
      </w:r>
      <w:r w:rsidRPr="009C37E1">
        <w:rPr>
          <w:rFonts w:ascii="SohoGothic" w:hAnsi="SohoGothic" w:cs="Helvetica"/>
          <w:color w:val="050F42"/>
          <w:sz w:val="21"/>
          <w:szCs w:val="21"/>
        </w:rPr>
        <w:t>, vol. 144, 2021, doi: 10.1016/j.rser.2021.110990.</w:t>
      </w:r>
    </w:p>
    <w:p w14:paraId="6071580F" w14:textId="067956DF"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lastRenderedPageBreak/>
        <w:t>[27]</w:t>
      </w:r>
      <w:r>
        <w:rPr>
          <w:rFonts w:ascii="SohoGothic" w:hAnsi="SohoGothic" w:cs="Helvetica"/>
          <w:color w:val="050F42"/>
          <w:sz w:val="21"/>
          <w:szCs w:val="21"/>
        </w:rPr>
        <w:tab/>
      </w:r>
      <w:r w:rsidRPr="009C37E1">
        <w:rPr>
          <w:rFonts w:ascii="SohoGothic" w:hAnsi="SohoGothic" w:cs="Helvetica"/>
          <w:color w:val="050F42"/>
          <w:sz w:val="21"/>
          <w:szCs w:val="21"/>
        </w:rPr>
        <w:t xml:space="preserve">Abiodun O I, Jantan A, Omolara A E, Dada K V, Mohamed N A, and Arshad H, State-of-the-art in artificial neural network applications: A survey, </w:t>
      </w:r>
      <w:r w:rsidRPr="00D77D99">
        <w:rPr>
          <w:rFonts w:ascii="SohoGothic" w:hAnsi="SohoGothic" w:cs="Helvetica"/>
          <w:i/>
          <w:iCs w:val="0"/>
          <w:color w:val="050F42"/>
          <w:sz w:val="21"/>
          <w:szCs w:val="21"/>
        </w:rPr>
        <w:t>Heliyon</w:t>
      </w:r>
      <w:r w:rsidRPr="009C37E1">
        <w:rPr>
          <w:rFonts w:ascii="SohoGothic" w:hAnsi="SohoGothic" w:cs="Helvetica"/>
          <w:color w:val="050F42"/>
          <w:sz w:val="21"/>
          <w:szCs w:val="21"/>
        </w:rPr>
        <w:t>, vol. 4, no. 11, p. e00938, Nov 2018, doi: 10.1016/j.heliyon.2018.e00938.</w:t>
      </w:r>
    </w:p>
    <w:p w14:paraId="389B6871" w14:textId="26F75A82"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[28]</w:t>
      </w:r>
      <w:r>
        <w:rPr>
          <w:rFonts w:ascii="SohoGothic" w:hAnsi="SohoGothic" w:cs="Helvetica"/>
          <w:color w:val="050F42"/>
          <w:sz w:val="21"/>
          <w:szCs w:val="21"/>
        </w:rPr>
        <w:tab/>
      </w:r>
      <w:r w:rsidRPr="009C37E1">
        <w:rPr>
          <w:rFonts w:ascii="SohoGothic" w:hAnsi="SohoGothic" w:cs="Helvetica"/>
          <w:color w:val="050F42"/>
          <w:sz w:val="21"/>
          <w:szCs w:val="21"/>
        </w:rPr>
        <w:t xml:space="preserve">Arat H and Arslan O, Optimization of district heating system aided by geothermal heat pump: A novel multistage with multilevel ANN modelling, </w:t>
      </w:r>
      <w:r w:rsidRPr="00D77D99">
        <w:rPr>
          <w:rFonts w:ascii="SohoGothic" w:hAnsi="SohoGothic" w:cs="Helvetica"/>
          <w:i/>
          <w:iCs w:val="0"/>
          <w:color w:val="050F42"/>
          <w:sz w:val="21"/>
          <w:szCs w:val="21"/>
        </w:rPr>
        <w:t>Applied Thermal Engineering</w:t>
      </w:r>
      <w:r w:rsidRPr="009C37E1">
        <w:rPr>
          <w:rFonts w:ascii="SohoGothic" w:hAnsi="SohoGothic" w:cs="Helvetica"/>
          <w:color w:val="050F42"/>
          <w:sz w:val="21"/>
          <w:szCs w:val="21"/>
        </w:rPr>
        <w:t>, vol. 111, pp. 608-623, 2017, doi: 10.1016/j.applthermaleng.2016.09.150.</w:t>
      </w:r>
    </w:p>
    <w:p w14:paraId="0E413EA2" w14:textId="19511FAF"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[29]</w:t>
      </w:r>
      <w:r>
        <w:rPr>
          <w:rFonts w:ascii="SohoGothic" w:hAnsi="SohoGothic" w:cs="Helvetica"/>
          <w:color w:val="050F42"/>
          <w:sz w:val="21"/>
          <w:szCs w:val="21"/>
        </w:rPr>
        <w:tab/>
      </w:r>
      <w:r w:rsidRPr="009C37E1">
        <w:rPr>
          <w:rFonts w:ascii="SohoGothic" w:hAnsi="SohoGothic" w:cs="Helvetica"/>
          <w:color w:val="050F42"/>
          <w:sz w:val="21"/>
          <w:szCs w:val="21"/>
        </w:rPr>
        <w:t>Wu Z G, Zhang J Z, Tao Y B, He Y L, and Tao W Q, Application of artificial neural network method for performance prediction of a gas cooler in a CO2 heat pump, I</w:t>
      </w:r>
      <w:r w:rsidRPr="00E10DAD">
        <w:rPr>
          <w:rFonts w:ascii="SohoGothic" w:hAnsi="SohoGothic" w:cs="Helvetica"/>
          <w:i/>
          <w:iCs w:val="0"/>
          <w:color w:val="050F42"/>
          <w:sz w:val="21"/>
          <w:szCs w:val="21"/>
        </w:rPr>
        <w:t>nternational Journal of Heat and Mass Transfer</w:t>
      </w:r>
      <w:r w:rsidRPr="009C37E1">
        <w:rPr>
          <w:rFonts w:ascii="SohoGothic" w:hAnsi="SohoGothic" w:cs="Helvetica"/>
          <w:color w:val="050F42"/>
          <w:sz w:val="21"/>
          <w:szCs w:val="21"/>
        </w:rPr>
        <w:t>, vol. 51, no. 21-22, pp. 5459-5464, 2008, doi: 10.1016/j.ijheatmasstransfer.2008.03.009.</w:t>
      </w:r>
    </w:p>
    <w:p w14:paraId="3B407399" w14:textId="484E088C"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[30]</w:t>
      </w:r>
      <w:r>
        <w:rPr>
          <w:rFonts w:ascii="SohoGothic" w:hAnsi="SohoGothic" w:cs="Helvetica"/>
          <w:color w:val="050F42"/>
          <w:sz w:val="21"/>
          <w:szCs w:val="21"/>
        </w:rPr>
        <w:tab/>
      </w:r>
      <w:r w:rsidRPr="009C37E1">
        <w:rPr>
          <w:rFonts w:ascii="SohoGothic" w:hAnsi="SohoGothic" w:cs="Helvetica"/>
          <w:color w:val="050F42"/>
          <w:sz w:val="21"/>
          <w:szCs w:val="21"/>
        </w:rPr>
        <w:t xml:space="preserve">Opalic S M et al., ANN modelling of CO2 refrigerant cooling system COP in a smart warehouse, </w:t>
      </w:r>
      <w:r w:rsidRPr="00E10DAD">
        <w:rPr>
          <w:rFonts w:ascii="SohoGothic" w:hAnsi="SohoGothic" w:cs="Helvetica"/>
          <w:i/>
          <w:iCs w:val="0"/>
          <w:color w:val="050F42"/>
          <w:sz w:val="21"/>
          <w:szCs w:val="21"/>
        </w:rPr>
        <w:t>Journal of Cleaner Production</w:t>
      </w:r>
      <w:r w:rsidRPr="009C37E1">
        <w:rPr>
          <w:rFonts w:ascii="SohoGothic" w:hAnsi="SohoGothic" w:cs="Helvetica"/>
          <w:color w:val="050F42"/>
          <w:sz w:val="21"/>
          <w:szCs w:val="21"/>
        </w:rPr>
        <w:t>, vol. 260, 2020, doi: 10.1016/j.jclepro.2020.120887.</w:t>
      </w:r>
    </w:p>
    <w:p w14:paraId="46255966" w14:textId="535E247C"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[31]</w:t>
      </w:r>
      <w:r>
        <w:rPr>
          <w:rFonts w:ascii="SohoGothic" w:hAnsi="SohoGothic" w:cs="Helvetica"/>
          <w:color w:val="050F42"/>
          <w:sz w:val="21"/>
          <w:szCs w:val="21"/>
        </w:rPr>
        <w:tab/>
      </w:r>
      <w:r w:rsidRPr="009C37E1">
        <w:rPr>
          <w:rFonts w:ascii="SohoGothic" w:hAnsi="SohoGothic" w:cs="Helvetica"/>
          <w:color w:val="050F42"/>
          <w:sz w:val="21"/>
          <w:szCs w:val="21"/>
        </w:rPr>
        <w:t>Yin X, Cao F, Wang J, Li M, and Wang X, Investigations on optimal discharge pressure in CO2 heat pumps using the GMDH and PSO-BP type neural network—Part A: Theoretical modeling, I</w:t>
      </w:r>
      <w:r w:rsidRPr="00E10DAD">
        <w:rPr>
          <w:rFonts w:ascii="SohoGothic" w:hAnsi="SohoGothic" w:cs="Helvetica"/>
          <w:i/>
          <w:iCs w:val="0"/>
          <w:color w:val="050F42"/>
          <w:sz w:val="21"/>
          <w:szCs w:val="21"/>
        </w:rPr>
        <w:t>nternational Journal of Refrigeration</w:t>
      </w:r>
      <w:r w:rsidRPr="009C37E1">
        <w:rPr>
          <w:rFonts w:ascii="SohoGothic" w:hAnsi="SohoGothic" w:cs="Helvetica"/>
          <w:color w:val="050F42"/>
          <w:sz w:val="21"/>
          <w:szCs w:val="21"/>
        </w:rPr>
        <w:t>, vol. 106, pp. 549-557, 2019, doi: 10.1016/j.ijrefrig.2019.04.027.</w:t>
      </w:r>
    </w:p>
    <w:p w14:paraId="2C0E79CD" w14:textId="73DEB3F1"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[32]</w:t>
      </w:r>
      <w:r>
        <w:rPr>
          <w:rFonts w:ascii="SohoGothic" w:hAnsi="SohoGothic" w:cs="Helvetica"/>
          <w:color w:val="050F42"/>
          <w:sz w:val="21"/>
          <w:szCs w:val="21"/>
        </w:rPr>
        <w:tab/>
      </w:r>
      <w:r w:rsidRPr="009C37E1">
        <w:rPr>
          <w:rFonts w:ascii="SohoGothic" w:hAnsi="SohoGothic" w:cs="Helvetica"/>
          <w:color w:val="050F42"/>
          <w:sz w:val="21"/>
          <w:szCs w:val="21"/>
        </w:rPr>
        <w:t xml:space="preserve">Fast M, Assadi M, and De S, Development and multi-utility of an ANN model for an industrial gas turbine, </w:t>
      </w:r>
      <w:r w:rsidRPr="00E10DAD">
        <w:rPr>
          <w:rFonts w:ascii="SohoGothic" w:hAnsi="SohoGothic" w:cs="Helvetica"/>
          <w:i/>
          <w:iCs w:val="0"/>
          <w:color w:val="050F42"/>
          <w:sz w:val="21"/>
          <w:szCs w:val="21"/>
        </w:rPr>
        <w:t>Applied Energy</w:t>
      </w:r>
      <w:r w:rsidRPr="009C37E1">
        <w:rPr>
          <w:rFonts w:ascii="SohoGothic" w:hAnsi="SohoGothic" w:cs="Helvetica"/>
          <w:color w:val="050F42"/>
          <w:sz w:val="21"/>
          <w:szCs w:val="21"/>
        </w:rPr>
        <w:t>, vol. 86, no. 1, pp. 9-17, 2009, doi: 10.1016/j.apenergy.2008.03.018.</w:t>
      </w:r>
    </w:p>
    <w:p w14:paraId="1FB09BF4" w14:textId="7AFB38A6"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[33]</w:t>
      </w:r>
      <w:r>
        <w:rPr>
          <w:rFonts w:ascii="SohoGothic" w:hAnsi="SohoGothic" w:cs="Helvetica"/>
          <w:color w:val="050F42"/>
          <w:sz w:val="21"/>
          <w:szCs w:val="21"/>
        </w:rPr>
        <w:tab/>
      </w:r>
      <w:r w:rsidRPr="009C37E1">
        <w:rPr>
          <w:rFonts w:ascii="SohoGothic" w:hAnsi="SohoGothic" w:cs="Helvetica"/>
          <w:color w:val="050F42"/>
          <w:sz w:val="21"/>
          <w:szCs w:val="21"/>
        </w:rPr>
        <w:t>Obara S y, Nagano K, and Okada M, Facilities introduction planning of a microgrid with CO 2 heat pump heating for cold regions,</w:t>
      </w:r>
      <w:r w:rsidR="00E10DAD">
        <w:rPr>
          <w:rFonts w:ascii="SohoGothic" w:hAnsi="SohoGothic" w:cs="Helvetica"/>
          <w:color w:val="050F42"/>
          <w:sz w:val="21"/>
          <w:szCs w:val="21"/>
        </w:rPr>
        <w:t xml:space="preserve"> </w:t>
      </w:r>
      <w:r w:rsidRPr="00E10DAD">
        <w:rPr>
          <w:rFonts w:ascii="SohoGothic" w:hAnsi="SohoGothic" w:cs="Helvetica"/>
          <w:i/>
          <w:iCs w:val="0"/>
          <w:color w:val="050F42"/>
          <w:sz w:val="21"/>
          <w:szCs w:val="21"/>
        </w:rPr>
        <w:t>Energy</w:t>
      </w:r>
      <w:r w:rsidRPr="009C37E1">
        <w:rPr>
          <w:rFonts w:ascii="SohoGothic" w:hAnsi="SohoGothic" w:cs="Helvetica"/>
          <w:color w:val="050F42"/>
          <w:sz w:val="21"/>
          <w:szCs w:val="21"/>
        </w:rPr>
        <w:t>, vol. 135, pp. 486-499, 2017, doi: 10.1016/j.energy.2017.06.154.</w:t>
      </w:r>
    </w:p>
    <w:p w14:paraId="0C2530B2" w14:textId="65CDEF93"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[34]</w:t>
      </w:r>
      <w:r>
        <w:rPr>
          <w:rFonts w:ascii="SohoGothic" w:hAnsi="SohoGothic" w:cs="Helvetica"/>
          <w:color w:val="050F42"/>
          <w:sz w:val="21"/>
          <w:szCs w:val="21"/>
        </w:rPr>
        <w:tab/>
      </w:r>
      <w:r w:rsidRPr="009C37E1">
        <w:rPr>
          <w:rFonts w:ascii="SohoGothic" w:hAnsi="SohoGothic" w:cs="Helvetica"/>
          <w:color w:val="050F42"/>
          <w:sz w:val="21"/>
          <w:szCs w:val="21"/>
        </w:rPr>
        <w:t xml:space="preserve">Khare V and Chaturvedi P, Design, control, reliability, economic and energy management of microgrid: A review, </w:t>
      </w:r>
      <w:r w:rsidRPr="00E10DAD">
        <w:rPr>
          <w:rFonts w:ascii="SohoGothic" w:hAnsi="SohoGothic" w:cs="Helvetica"/>
          <w:i/>
          <w:iCs w:val="0"/>
          <w:color w:val="050F42"/>
          <w:sz w:val="21"/>
          <w:szCs w:val="21"/>
        </w:rPr>
        <w:t>e-Prime - Advances in Electrical Engineering, Electronics and Energy</w:t>
      </w:r>
      <w:r w:rsidRPr="009C37E1">
        <w:rPr>
          <w:rFonts w:ascii="SohoGothic" w:hAnsi="SohoGothic" w:cs="Helvetica"/>
          <w:color w:val="050F42"/>
          <w:sz w:val="21"/>
          <w:szCs w:val="21"/>
        </w:rPr>
        <w:t>, vol. 5, 2023, doi: 10.1016/j.prime.2023.100239.</w:t>
      </w:r>
    </w:p>
    <w:p w14:paraId="45C90058" w14:textId="72EB9F66" w:rsidR="009C37E1" w:rsidRPr="009C37E1" w:rsidRDefault="009C37E1"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t>[35]</w:t>
      </w:r>
      <w:r>
        <w:rPr>
          <w:rFonts w:ascii="SohoGothic" w:hAnsi="SohoGothic" w:cs="Helvetica"/>
          <w:color w:val="050F42"/>
          <w:sz w:val="21"/>
          <w:szCs w:val="21"/>
        </w:rPr>
        <w:tab/>
      </w:r>
      <w:r w:rsidRPr="009C37E1">
        <w:rPr>
          <w:rFonts w:ascii="SohoGothic" w:hAnsi="SohoGothic" w:cs="Helvetica"/>
          <w:color w:val="050F42"/>
          <w:sz w:val="21"/>
          <w:szCs w:val="21"/>
        </w:rPr>
        <w:t xml:space="preserve">Reynolds J, Ahmad M W, and Rezgui Y, Holistic modelling techniques for the operational optimisation of multi-vector energy systems, </w:t>
      </w:r>
      <w:r w:rsidRPr="00E10DAD">
        <w:rPr>
          <w:rFonts w:ascii="SohoGothic" w:hAnsi="SohoGothic" w:cs="Helvetica"/>
          <w:i/>
          <w:iCs w:val="0"/>
          <w:color w:val="050F42"/>
          <w:sz w:val="21"/>
          <w:szCs w:val="21"/>
        </w:rPr>
        <w:t>Energy and Buildings</w:t>
      </w:r>
      <w:r w:rsidRPr="009C37E1">
        <w:rPr>
          <w:rFonts w:ascii="SohoGothic" w:hAnsi="SohoGothic" w:cs="Helvetica"/>
          <w:color w:val="050F42"/>
          <w:sz w:val="21"/>
          <w:szCs w:val="21"/>
        </w:rPr>
        <w:t>, vol. 169, pp. 397-416, 2018, doi: 10.1016/j.enbuild.2018.03.065.</w:t>
      </w:r>
    </w:p>
    <w:p w14:paraId="280DAFD8" w14:textId="30DCBF83" w:rsidR="009C37E1" w:rsidRPr="009C37E1" w:rsidRDefault="00401C25" w:rsidP="009C37E1">
      <w:pPr>
        <w:pStyle w:val="Reference"/>
        <w:ind w:left="851" w:hanging="851"/>
        <w:rPr>
          <w:rFonts w:ascii="SohoGothic" w:hAnsi="SohoGothic" w:cs="Helvetica"/>
          <w:color w:val="050F42"/>
          <w:sz w:val="21"/>
          <w:szCs w:val="21"/>
        </w:rPr>
      </w:pPr>
      <w:r w:rsidRPr="009C37E1">
        <w:rPr>
          <w:rFonts w:ascii="SohoGothic" w:hAnsi="SohoGothic" w:cs="Helvetica"/>
          <w:color w:val="050F42"/>
          <w:sz w:val="21"/>
          <w:szCs w:val="21"/>
        </w:rPr>
        <w:fldChar w:fldCharType="end"/>
      </w:r>
      <w:bookmarkEnd w:id="11"/>
    </w:p>
    <w:sectPr w:rsidR="009C37E1" w:rsidRPr="009C37E1">
      <w:headerReference w:type="default" r:id="rId22"/>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76C41" w14:textId="77777777" w:rsidR="009C1DD7" w:rsidRDefault="009C1DD7">
      <w:r>
        <w:separator/>
      </w:r>
    </w:p>
  </w:endnote>
  <w:endnote w:type="continuationSeparator" w:id="0">
    <w:p w14:paraId="3EB0D48C" w14:textId="77777777" w:rsidR="009C1DD7" w:rsidRDefault="009C1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ohoGothic">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19D17" w14:textId="77777777" w:rsidR="009C1DD7" w:rsidRPr="00043761" w:rsidRDefault="009C1DD7">
      <w:pPr>
        <w:pStyle w:val="Bulleted"/>
        <w:numPr>
          <w:ilvl w:val="0"/>
          <w:numId w:val="0"/>
        </w:numPr>
        <w:rPr>
          <w:rFonts w:ascii="Sabon" w:hAnsi="Sabon"/>
          <w:color w:val="auto"/>
          <w:szCs w:val="20"/>
        </w:rPr>
      </w:pPr>
      <w:r>
        <w:separator/>
      </w:r>
    </w:p>
  </w:footnote>
  <w:footnote w:type="continuationSeparator" w:id="0">
    <w:p w14:paraId="2B56B087" w14:textId="77777777" w:rsidR="009C1DD7" w:rsidRDefault="009C1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D947" w14:textId="77777777" w:rsidR="009A0487" w:rsidRDefault="009A0487"/>
  <w:p w14:paraId="27784931" w14:textId="77777777" w:rsidR="009A0487" w:rsidRDefault="009A0487"/>
  <w:p w14:paraId="4C9CB2D1" w14:textId="77777777" w:rsidR="009A0487" w:rsidRDefault="009A0487"/>
  <w:p w14:paraId="3284E9D9" w14:textId="77777777" w:rsidR="009A0487" w:rsidRDefault="009A0487"/>
  <w:p w14:paraId="300BEF38" w14:textId="77777777" w:rsidR="009A0487" w:rsidRDefault="009A0487"/>
  <w:p w14:paraId="54E4F276"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925A25A2"/>
    <w:lvl w:ilvl="0">
      <w:start w:val="1"/>
      <w:numFmt w:val="decimal"/>
      <w:pStyle w:val="Section"/>
      <w:suff w:val="nothing"/>
      <w:lvlText w:val="%1.  "/>
      <w:lvlJc w:val="left"/>
      <w:pPr>
        <w:ind w:left="1417" w:firstLine="0"/>
      </w:pPr>
      <w:rPr>
        <w:rFonts w:hint="default"/>
      </w:rPr>
    </w:lvl>
    <w:lvl w:ilvl="1">
      <w:start w:val="1"/>
      <w:numFmt w:val="decimal"/>
      <w:pStyle w:val="Subsection"/>
      <w:suff w:val="nothing"/>
      <w:lvlText w:val="%1.%2.  "/>
      <w:lvlJc w:val="left"/>
      <w:pPr>
        <w:ind w:left="1701" w:firstLine="0"/>
      </w:pPr>
      <w:rPr>
        <w:rFonts w:hint="default"/>
      </w:rPr>
    </w:lvl>
    <w:lvl w:ilvl="2">
      <w:start w:val="1"/>
      <w:numFmt w:val="decimal"/>
      <w:pStyle w:val="Subsubsection"/>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61B7525"/>
    <w:multiLevelType w:val="hybridMultilevel"/>
    <w:tmpl w:val="C2C8017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D11977"/>
    <w:multiLevelType w:val="hybridMultilevel"/>
    <w:tmpl w:val="1C5C69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66936D1"/>
    <w:multiLevelType w:val="hybridMultilevel"/>
    <w:tmpl w:val="81BA46F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D9556E6"/>
    <w:multiLevelType w:val="hybridMultilevel"/>
    <w:tmpl w:val="8C54D8DC"/>
    <w:lvl w:ilvl="0" w:tplc="F7F88E22">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3FF09B4"/>
    <w:multiLevelType w:val="multilevel"/>
    <w:tmpl w:val="3B6AAE3A"/>
    <w:lvl w:ilvl="0">
      <w:start w:val="1"/>
      <w:numFmt w:val="decimal"/>
      <w:pStyle w:val="section0"/>
      <w:suff w:val="space"/>
      <w:lvlText w:val="%1."/>
      <w:lvlJc w:val="left"/>
      <w:pPr>
        <w:ind w:left="0" w:firstLine="0"/>
      </w:pPr>
      <w:rPr>
        <w:sz w:val="22"/>
      </w:rPr>
    </w:lvl>
    <w:lvl w:ilvl="1">
      <w:start w:val="1"/>
      <w:numFmt w:val="decimal"/>
      <w:pStyle w:val="subsection0"/>
      <w:suff w:val="space"/>
      <w:lvlText w:val="%1.%2."/>
      <w:lvlJc w:val="left"/>
      <w:pPr>
        <w:ind w:left="0" w:firstLine="0"/>
      </w:pPr>
      <w:rPr>
        <w:lang w:val="en-GB"/>
      </w:rPr>
    </w:lvl>
    <w:lvl w:ilvl="2">
      <w:start w:val="1"/>
      <w:numFmt w:val="decimal"/>
      <w:pStyle w:val="subsubsection0"/>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6E796DC6"/>
    <w:multiLevelType w:val="multilevel"/>
    <w:tmpl w:val="9D183DB2"/>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72D51501"/>
    <w:multiLevelType w:val="hybridMultilevel"/>
    <w:tmpl w:val="18FCD62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16cid:durableId="32192457">
    <w:abstractNumId w:val="9"/>
  </w:num>
  <w:num w:numId="2" w16cid:durableId="468517655">
    <w:abstractNumId w:val="2"/>
  </w:num>
  <w:num w:numId="3" w16cid:durableId="1791896973">
    <w:abstractNumId w:val="0"/>
  </w:num>
  <w:num w:numId="4" w16cid:durableId="1307079316">
    <w:abstractNumId w:val="5"/>
  </w:num>
  <w:num w:numId="5" w16cid:durableId="811678184">
    <w:abstractNumId w:val="2"/>
  </w:num>
  <w:num w:numId="6" w16cid:durableId="16322489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8660667">
    <w:abstractNumId w:val="0"/>
  </w:num>
  <w:num w:numId="8" w16cid:durableId="295137621">
    <w:abstractNumId w:val="0"/>
  </w:num>
  <w:num w:numId="9" w16cid:durableId="682364103">
    <w:abstractNumId w:val="0"/>
  </w:num>
  <w:num w:numId="10" w16cid:durableId="1876502158">
    <w:abstractNumId w:val="0"/>
  </w:num>
  <w:num w:numId="11" w16cid:durableId="776022026">
    <w:abstractNumId w:val="0"/>
  </w:num>
  <w:num w:numId="12" w16cid:durableId="1160267329">
    <w:abstractNumId w:val="0"/>
  </w:num>
  <w:num w:numId="13" w16cid:durableId="2033602456">
    <w:abstractNumId w:val="0"/>
  </w:num>
  <w:num w:numId="14" w16cid:durableId="547911205">
    <w:abstractNumId w:val="0"/>
  </w:num>
  <w:num w:numId="15" w16cid:durableId="385643059">
    <w:abstractNumId w:val="5"/>
  </w:num>
  <w:num w:numId="16" w16cid:durableId="844637201">
    <w:abstractNumId w:val="5"/>
  </w:num>
  <w:num w:numId="17" w16cid:durableId="1440561850">
    <w:abstractNumId w:val="6"/>
  </w:num>
  <w:num w:numId="18" w16cid:durableId="1949460603">
    <w:abstractNumId w:val="0"/>
  </w:num>
  <w:num w:numId="19" w16cid:durableId="1584341225">
    <w:abstractNumId w:val="0"/>
  </w:num>
  <w:num w:numId="20" w16cid:durableId="1386878687">
    <w:abstractNumId w:val="0"/>
  </w:num>
  <w:num w:numId="21" w16cid:durableId="74712044">
    <w:abstractNumId w:val="0"/>
  </w:num>
  <w:num w:numId="22" w16cid:durableId="270166459">
    <w:abstractNumId w:val="0"/>
  </w:num>
  <w:num w:numId="23" w16cid:durableId="2022663689">
    <w:abstractNumId w:val="0"/>
  </w:num>
  <w:num w:numId="24" w16cid:durableId="1821186965">
    <w:abstractNumId w:val="0"/>
  </w:num>
  <w:num w:numId="25" w16cid:durableId="912198667">
    <w:abstractNumId w:val="7"/>
  </w:num>
  <w:num w:numId="26" w16cid:durableId="122776739">
    <w:abstractNumId w:val="1"/>
  </w:num>
  <w:num w:numId="27" w16cid:durableId="611474694">
    <w:abstractNumId w:val="8"/>
  </w:num>
  <w:num w:numId="28" w16cid:durableId="1790776685">
    <w:abstractNumId w:val="4"/>
  </w:num>
  <w:num w:numId="29" w16cid:durableId="151449339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425"/>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Copy&lt;/Style&gt;&lt;LeftDelim&gt;{&lt;/LeftDelim&gt;&lt;RightDelim&gt;}&lt;/RightDelim&gt;&lt;FontName&gt;Times&lt;/FontName&gt;&lt;FontSize&gt;11&lt;/FontSize&gt;&lt;ReflistTitle&gt;&lt;/ReflistTitle&gt;&lt;StartingRefnum&gt;1&lt;/StartingRefnum&gt;&lt;FirstLineIndent&gt;0&lt;/FirstLineIndent&gt;&lt;HangingIndent&gt;283&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r0eev5awpfx9e9faavww2prtw2dpd9r5dr&quot;&gt;Fadnes EndNote&lt;record-ids&gt;&lt;item&gt;7&lt;/item&gt;&lt;item&gt;45&lt;/item&gt;&lt;item&gt;54&lt;/item&gt;&lt;item&gt;168&lt;/item&gt;&lt;item&gt;400&lt;/item&gt;&lt;item&gt;419&lt;/item&gt;&lt;item&gt;425&lt;/item&gt;&lt;item&gt;428&lt;/item&gt;&lt;item&gt;444&lt;/item&gt;&lt;item&gt;445&lt;/item&gt;&lt;item&gt;448&lt;/item&gt;&lt;item&gt;449&lt;/item&gt;&lt;item&gt;457&lt;/item&gt;&lt;item&gt;459&lt;/item&gt;&lt;item&gt;465&lt;/item&gt;&lt;item&gt;468&lt;/item&gt;&lt;item&gt;470&lt;/item&gt;&lt;item&gt;471&lt;/item&gt;&lt;item&gt;473&lt;/item&gt;&lt;item&gt;474&lt;/item&gt;&lt;item&gt;476&lt;/item&gt;&lt;item&gt;478&lt;/item&gt;&lt;item&gt;480&lt;/item&gt;&lt;item&gt;481&lt;/item&gt;&lt;item&gt;482&lt;/item&gt;&lt;item&gt;483&lt;/item&gt;&lt;item&gt;484&lt;/item&gt;&lt;item&gt;485&lt;/item&gt;&lt;item&gt;487&lt;/item&gt;&lt;item&gt;488&lt;/item&gt;&lt;item&gt;489&lt;/item&gt;&lt;item&gt;490&lt;/item&gt;&lt;item&gt;492&lt;/item&gt;&lt;item&gt;493&lt;/item&gt;&lt;item&gt;494&lt;/item&gt;&lt;/record-ids&gt;&lt;/item&gt;&lt;/Libraries&gt;"/>
  </w:docVars>
  <w:rsids>
    <w:rsidRoot w:val="00EF6BE4"/>
    <w:rsid w:val="00006EA6"/>
    <w:rsid w:val="00017741"/>
    <w:rsid w:val="00041812"/>
    <w:rsid w:val="00065B6F"/>
    <w:rsid w:val="000A0094"/>
    <w:rsid w:val="000D12CA"/>
    <w:rsid w:val="000D6AB7"/>
    <w:rsid w:val="000F3C2E"/>
    <w:rsid w:val="00101219"/>
    <w:rsid w:val="00111186"/>
    <w:rsid w:val="0011630D"/>
    <w:rsid w:val="00147891"/>
    <w:rsid w:val="0015636D"/>
    <w:rsid w:val="00157418"/>
    <w:rsid w:val="00161699"/>
    <w:rsid w:val="00164C10"/>
    <w:rsid w:val="0017231D"/>
    <w:rsid w:val="001C60EE"/>
    <w:rsid w:val="001D0C63"/>
    <w:rsid w:val="00217A99"/>
    <w:rsid w:val="00232FCF"/>
    <w:rsid w:val="00256198"/>
    <w:rsid w:val="00274766"/>
    <w:rsid w:val="0029380D"/>
    <w:rsid w:val="0029740E"/>
    <w:rsid w:val="002C7EC2"/>
    <w:rsid w:val="002F5B7D"/>
    <w:rsid w:val="002F785B"/>
    <w:rsid w:val="00344D66"/>
    <w:rsid w:val="0034797B"/>
    <w:rsid w:val="00365F81"/>
    <w:rsid w:val="00380A77"/>
    <w:rsid w:val="003D19ED"/>
    <w:rsid w:val="003E0F0E"/>
    <w:rsid w:val="00401C25"/>
    <w:rsid w:val="00401D3F"/>
    <w:rsid w:val="00430293"/>
    <w:rsid w:val="0043537B"/>
    <w:rsid w:val="00441EDF"/>
    <w:rsid w:val="00461020"/>
    <w:rsid w:val="00470A9D"/>
    <w:rsid w:val="00470D33"/>
    <w:rsid w:val="004938D2"/>
    <w:rsid w:val="004C3E89"/>
    <w:rsid w:val="004E752E"/>
    <w:rsid w:val="00500048"/>
    <w:rsid w:val="00513561"/>
    <w:rsid w:val="005158FA"/>
    <w:rsid w:val="005533C8"/>
    <w:rsid w:val="00574960"/>
    <w:rsid w:val="00581C25"/>
    <w:rsid w:val="005921D8"/>
    <w:rsid w:val="0059432E"/>
    <w:rsid w:val="005C039D"/>
    <w:rsid w:val="005C339B"/>
    <w:rsid w:val="005D7110"/>
    <w:rsid w:val="006229A5"/>
    <w:rsid w:val="00625C49"/>
    <w:rsid w:val="00625E84"/>
    <w:rsid w:val="00636816"/>
    <w:rsid w:val="006704C9"/>
    <w:rsid w:val="00675807"/>
    <w:rsid w:val="00675862"/>
    <w:rsid w:val="006A2892"/>
    <w:rsid w:val="006A4DCD"/>
    <w:rsid w:val="006B0CFB"/>
    <w:rsid w:val="006F2770"/>
    <w:rsid w:val="006F45A4"/>
    <w:rsid w:val="00703219"/>
    <w:rsid w:val="00714223"/>
    <w:rsid w:val="007168A4"/>
    <w:rsid w:val="00726518"/>
    <w:rsid w:val="00733CB3"/>
    <w:rsid w:val="007422E9"/>
    <w:rsid w:val="00775A92"/>
    <w:rsid w:val="00775B7D"/>
    <w:rsid w:val="0078183E"/>
    <w:rsid w:val="007B3C87"/>
    <w:rsid w:val="007C79AC"/>
    <w:rsid w:val="007E000A"/>
    <w:rsid w:val="007F14D4"/>
    <w:rsid w:val="00804C91"/>
    <w:rsid w:val="00804F50"/>
    <w:rsid w:val="008151F2"/>
    <w:rsid w:val="00821F56"/>
    <w:rsid w:val="0085626B"/>
    <w:rsid w:val="008579F7"/>
    <w:rsid w:val="00860046"/>
    <w:rsid w:val="0087097C"/>
    <w:rsid w:val="00871393"/>
    <w:rsid w:val="008B073A"/>
    <w:rsid w:val="008C473B"/>
    <w:rsid w:val="008E1EFB"/>
    <w:rsid w:val="0090036F"/>
    <w:rsid w:val="00923F95"/>
    <w:rsid w:val="009813CE"/>
    <w:rsid w:val="00993851"/>
    <w:rsid w:val="009A0487"/>
    <w:rsid w:val="009C1DD7"/>
    <w:rsid w:val="009C37E1"/>
    <w:rsid w:val="009D0762"/>
    <w:rsid w:val="009D1BD3"/>
    <w:rsid w:val="009D36FC"/>
    <w:rsid w:val="009E61A9"/>
    <w:rsid w:val="009F16E7"/>
    <w:rsid w:val="00A262AF"/>
    <w:rsid w:val="00A30346"/>
    <w:rsid w:val="00A31215"/>
    <w:rsid w:val="00A40011"/>
    <w:rsid w:val="00A6006F"/>
    <w:rsid w:val="00A82FE3"/>
    <w:rsid w:val="00AC2FB1"/>
    <w:rsid w:val="00AC59C8"/>
    <w:rsid w:val="00AF4AAC"/>
    <w:rsid w:val="00B04C07"/>
    <w:rsid w:val="00B05982"/>
    <w:rsid w:val="00B33F94"/>
    <w:rsid w:val="00B54890"/>
    <w:rsid w:val="00B66E33"/>
    <w:rsid w:val="00B729A4"/>
    <w:rsid w:val="00B83F45"/>
    <w:rsid w:val="00B90CE9"/>
    <w:rsid w:val="00BA292E"/>
    <w:rsid w:val="00BC2B17"/>
    <w:rsid w:val="00BD1FCD"/>
    <w:rsid w:val="00BD561D"/>
    <w:rsid w:val="00C178A3"/>
    <w:rsid w:val="00C206AA"/>
    <w:rsid w:val="00C44C5A"/>
    <w:rsid w:val="00C47EDD"/>
    <w:rsid w:val="00C6473B"/>
    <w:rsid w:val="00CB0677"/>
    <w:rsid w:val="00CB2184"/>
    <w:rsid w:val="00CB2661"/>
    <w:rsid w:val="00CC6A03"/>
    <w:rsid w:val="00CC79EB"/>
    <w:rsid w:val="00CE3A34"/>
    <w:rsid w:val="00D1078F"/>
    <w:rsid w:val="00D20F5E"/>
    <w:rsid w:val="00D400DF"/>
    <w:rsid w:val="00D51657"/>
    <w:rsid w:val="00D537AC"/>
    <w:rsid w:val="00D67D7E"/>
    <w:rsid w:val="00D77D99"/>
    <w:rsid w:val="00D96AA5"/>
    <w:rsid w:val="00DC1F43"/>
    <w:rsid w:val="00DD690D"/>
    <w:rsid w:val="00DE218A"/>
    <w:rsid w:val="00DE37AD"/>
    <w:rsid w:val="00E10DAD"/>
    <w:rsid w:val="00E24B32"/>
    <w:rsid w:val="00E95D92"/>
    <w:rsid w:val="00EB0204"/>
    <w:rsid w:val="00EF364E"/>
    <w:rsid w:val="00EF379B"/>
    <w:rsid w:val="00EF6BE4"/>
    <w:rsid w:val="00F13304"/>
    <w:rsid w:val="00F371DE"/>
    <w:rsid w:val="00F43756"/>
    <w:rsid w:val="00F82A0D"/>
    <w:rsid w:val="00F86A8D"/>
    <w:rsid w:val="00F93F96"/>
    <w:rsid w:val="00FA6617"/>
    <w:rsid w:val="00FE12B4"/>
    <w:rsid w:val="00FE1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10B31A7"/>
  <w14:defaultImageDpi w14:val="32767"/>
  <w15:docId w15:val="{9757D0F5-397C-4AAD-B2A4-35139C23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157418"/>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ind w:left="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ind w:left="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ind w:left="851" w:hanging="284"/>
    </w:pPr>
  </w:style>
  <w:style w:type="paragraph" w:customStyle="1" w:styleId="Reference">
    <w:name w:val="Reference"/>
    <w:pPr>
      <w:widowControl w:val="0"/>
      <w:tabs>
        <w:tab w:val="left" w:pos="567"/>
      </w:tabs>
      <w:jc w:val="both"/>
    </w:pPr>
    <w:rPr>
      <w:rFonts w:ascii="Times" w:hAnsi="Times"/>
      <w:iCs/>
      <w:noProof/>
      <w:color w:val="000000"/>
      <w:sz w:val="22"/>
      <w:szCs w:val="22"/>
      <w:lang w:eastAsia="en-US"/>
    </w:rPr>
  </w:style>
  <w:style w:type="character" w:customStyle="1" w:styleId="BodyIndentChar">
    <w:name w:val="BodyIndent Char"/>
    <w:link w:val="BodyIndent"/>
    <w:locked/>
    <w:rsid w:val="006229A5"/>
    <w:rPr>
      <w:rFonts w:ascii="Times" w:hAnsi="Times" w:cs="Times"/>
      <w:color w:val="000000"/>
      <w:sz w:val="22"/>
      <w:szCs w:val="22"/>
      <w:lang w:eastAsia="en-US"/>
    </w:rPr>
  </w:style>
  <w:style w:type="paragraph" w:customStyle="1" w:styleId="BodyIndent">
    <w:name w:val="BodyIndent"/>
    <w:basedOn w:val="Normal"/>
    <w:link w:val="BodyIndentChar"/>
    <w:autoRedefine/>
    <w:rsid w:val="006229A5"/>
    <w:pPr>
      <w:tabs>
        <w:tab w:val="left" w:pos="567"/>
      </w:tabs>
      <w:jc w:val="both"/>
    </w:pPr>
    <w:rPr>
      <w:rFonts w:cs="Times"/>
      <w:color w:val="000000"/>
      <w:szCs w:val="22"/>
    </w:rPr>
  </w:style>
  <w:style w:type="character" w:customStyle="1" w:styleId="BodyCharChar">
    <w:name w:val="Body Char Char"/>
    <w:link w:val="BodyChar"/>
    <w:locked/>
    <w:rsid w:val="006229A5"/>
    <w:rPr>
      <w:rFonts w:ascii="Times" w:hAnsi="Times" w:cs="Times"/>
      <w:color w:val="000000"/>
      <w:sz w:val="22"/>
      <w:szCs w:val="22"/>
      <w:lang w:eastAsia="en-US"/>
    </w:rPr>
  </w:style>
  <w:style w:type="paragraph" w:customStyle="1" w:styleId="BodyChar">
    <w:name w:val="Body Char"/>
    <w:link w:val="BodyCharChar"/>
    <w:rsid w:val="006229A5"/>
    <w:pPr>
      <w:tabs>
        <w:tab w:val="left" w:pos="567"/>
      </w:tabs>
      <w:jc w:val="both"/>
    </w:pPr>
    <w:rPr>
      <w:rFonts w:ascii="Times" w:hAnsi="Times" w:cs="Times"/>
      <w:color w:val="000000"/>
      <w:sz w:val="22"/>
      <w:szCs w:val="22"/>
      <w:lang w:eastAsia="en-US"/>
    </w:rPr>
  </w:style>
  <w:style w:type="paragraph" w:customStyle="1" w:styleId="TableCaptionCentred">
    <w:name w:val="Table.Caption.Centred"/>
    <w:basedOn w:val="Normal"/>
    <w:autoRedefine/>
    <w:rsid w:val="00500048"/>
    <w:pPr>
      <w:spacing w:after="120"/>
      <w:jc w:val="center"/>
    </w:pPr>
    <w:rPr>
      <w:color w:val="000000"/>
      <w:szCs w:val="22"/>
    </w:rPr>
  </w:style>
  <w:style w:type="paragraph" w:customStyle="1" w:styleId="subsection0">
    <w:name w:val="subsection"/>
    <w:rsid w:val="00500048"/>
    <w:pPr>
      <w:numPr>
        <w:ilvl w:val="1"/>
        <w:numId w:val="6"/>
      </w:numPr>
      <w:tabs>
        <w:tab w:val="left" w:pos="567"/>
      </w:tabs>
      <w:spacing w:before="240"/>
    </w:pPr>
    <w:rPr>
      <w:rFonts w:ascii="Times" w:hAnsi="Times"/>
      <w:i/>
      <w:iCs/>
      <w:color w:val="000000"/>
      <w:sz w:val="22"/>
      <w:szCs w:val="22"/>
      <w:lang w:val="en-US" w:eastAsia="en-US"/>
    </w:rPr>
  </w:style>
  <w:style w:type="character" w:customStyle="1" w:styleId="sectionChar">
    <w:name w:val="section Char"/>
    <w:link w:val="section0"/>
    <w:locked/>
    <w:rsid w:val="00500048"/>
    <w:rPr>
      <w:rFonts w:ascii="Times" w:hAnsi="Times" w:cs="Times"/>
      <w:b/>
      <w:color w:val="000000"/>
      <w:sz w:val="22"/>
      <w:szCs w:val="22"/>
      <w:lang w:eastAsia="en-US"/>
    </w:rPr>
  </w:style>
  <w:style w:type="paragraph" w:customStyle="1" w:styleId="section0">
    <w:name w:val="section"/>
    <w:link w:val="sectionChar"/>
    <w:autoRedefine/>
    <w:rsid w:val="00500048"/>
    <w:pPr>
      <w:numPr>
        <w:numId w:val="6"/>
      </w:numPr>
      <w:tabs>
        <w:tab w:val="left" w:pos="567"/>
      </w:tabs>
      <w:spacing w:before="240"/>
    </w:pPr>
    <w:rPr>
      <w:rFonts w:ascii="Times" w:hAnsi="Times" w:cs="Times"/>
      <w:b/>
      <w:color w:val="000000"/>
      <w:sz w:val="22"/>
      <w:szCs w:val="22"/>
      <w:lang w:eastAsia="en-US"/>
    </w:rPr>
  </w:style>
  <w:style w:type="paragraph" w:customStyle="1" w:styleId="subsubsection0">
    <w:name w:val="subsubsection"/>
    <w:link w:val="subsubsectionChar0"/>
    <w:autoRedefine/>
    <w:rsid w:val="00500048"/>
    <w:pPr>
      <w:numPr>
        <w:ilvl w:val="2"/>
        <w:numId w:val="6"/>
      </w:numPr>
      <w:tabs>
        <w:tab w:val="left" w:pos="567"/>
      </w:tabs>
      <w:spacing w:before="240"/>
      <w:ind w:left="0" w:firstLine="0"/>
      <w:jc w:val="both"/>
    </w:pPr>
    <w:rPr>
      <w:rFonts w:ascii="Times" w:hAnsi="Times"/>
      <w:i/>
      <w:iCs/>
      <w:color w:val="000000"/>
      <w:sz w:val="22"/>
      <w:szCs w:val="22"/>
      <w:lang w:val="en-US" w:eastAsia="en-US"/>
    </w:rPr>
  </w:style>
  <w:style w:type="character" w:customStyle="1" w:styleId="subsubsectionChar0">
    <w:name w:val="subsubsection Char"/>
    <w:link w:val="subsubsection0"/>
    <w:locked/>
    <w:rsid w:val="0057496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locked/>
    <w:rsid w:val="00574960"/>
    <w:rPr>
      <w:rFonts w:ascii="Times" w:hAnsi="Times"/>
      <w:i w:val="0"/>
      <w:iCs w:val="0"/>
      <w:color w:val="000000"/>
      <w:sz w:val="22"/>
      <w:szCs w:val="22"/>
      <w:lang w:val="en-US" w:eastAsia="en-US"/>
    </w:rPr>
  </w:style>
  <w:style w:type="paragraph" w:customStyle="1" w:styleId="StylesubsubsectionNotItalic1Char">
    <w:name w:val="Style subsubsection + Not Italic1 Char"/>
    <w:basedOn w:val="subsubsection0"/>
    <w:link w:val="StylesubsubsectionNotItalic1CharChar"/>
    <w:autoRedefine/>
    <w:rsid w:val="00574960"/>
    <w:pPr>
      <w:numPr>
        <w:ilvl w:val="0"/>
        <w:numId w:val="0"/>
      </w:numPr>
      <w:tabs>
        <w:tab w:val="num" w:pos="720"/>
      </w:tabs>
    </w:pPr>
    <w:rPr>
      <w:i w:val="0"/>
      <w:iCs w:val="0"/>
    </w:rPr>
  </w:style>
  <w:style w:type="paragraph" w:customStyle="1" w:styleId="EQN">
    <w:name w:val="EQN"/>
    <w:basedOn w:val="BodyIndent"/>
    <w:autoRedefine/>
    <w:rsid w:val="00470A9D"/>
    <w:pPr>
      <w:tabs>
        <w:tab w:val="clear" w:pos="567"/>
        <w:tab w:val="center" w:pos="4820"/>
        <w:tab w:val="right" w:pos="9072"/>
      </w:tabs>
      <w:spacing w:before="120" w:after="120"/>
      <w:jc w:val="center"/>
    </w:pPr>
    <w:rPr>
      <w:lang w:val="en-US"/>
    </w:rPr>
  </w:style>
  <w:style w:type="character" w:styleId="Hyperlink">
    <w:name w:val="Hyperlink"/>
    <w:basedOn w:val="DefaultParagraphFont"/>
    <w:uiPriority w:val="99"/>
    <w:unhideWhenUsed/>
    <w:rsid w:val="006704C9"/>
    <w:rPr>
      <w:color w:val="0000FF"/>
      <w:u w:val="single"/>
    </w:rPr>
  </w:style>
  <w:style w:type="character" w:styleId="CommentReference">
    <w:name w:val="annotation reference"/>
    <w:basedOn w:val="DefaultParagraphFont"/>
    <w:uiPriority w:val="99"/>
    <w:semiHidden/>
    <w:unhideWhenUsed/>
    <w:rsid w:val="0078183E"/>
    <w:rPr>
      <w:sz w:val="16"/>
      <w:szCs w:val="16"/>
    </w:rPr>
  </w:style>
  <w:style w:type="paragraph" w:styleId="CommentText">
    <w:name w:val="annotation text"/>
    <w:basedOn w:val="Normal"/>
    <w:link w:val="CommentTextChar"/>
    <w:uiPriority w:val="99"/>
    <w:unhideWhenUsed/>
    <w:rsid w:val="0078183E"/>
    <w:pPr>
      <w:spacing w:after="160"/>
    </w:pPr>
    <w:rPr>
      <w:rFonts w:ascii="Arial" w:eastAsia="Arial" w:hAnsi="Arial"/>
      <w:sz w:val="20"/>
    </w:rPr>
  </w:style>
  <w:style w:type="character" w:customStyle="1" w:styleId="CommentTextChar">
    <w:name w:val="Comment Text Char"/>
    <w:basedOn w:val="DefaultParagraphFont"/>
    <w:link w:val="CommentText"/>
    <w:uiPriority w:val="99"/>
    <w:rsid w:val="0078183E"/>
    <w:rPr>
      <w:rFonts w:ascii="Arial" w:eastAsia="Arial" w:hAnsi="Arial"/>
      <w:lang w:eastAsia="en-US"/>
    </w:rPr>
  </w:style>
  <w:style w:type="paragraph" w:styleId="Caption">
    <w:name w:val="caption"/>
    <w:basedOn w:val="Normal"/>
    <w:next w:val="Normal"/>
    <w:uiPriority w:val="35"/>
    <w:unhideWhenUsed/>
    <w:qFormat/>
    <w:rsid w:val="008B073A"/>
    <w:pPr>
      <w:spacing w:after="200"/>
    </w:pPr>
    <w:rPr>
      <w:rFonts w:ascii="Arial" w:eastAsia="Arial" w:hAnsi="Arial"/>
      <w:i/>
      <w:iCs/>
      <w:color w:val="1F497D" w:themeColor="text2"/>
      <w:sz w:val="18"/>
      <w:szCs w:val="18"/>
    </w:rPr>
  </w:style>
  <w:style w:type="table" w:customStyle="1" w:styleId="TableGrid1">
    <w:name w:val="Table Grid1"/>
    <w:basedOn w:val="TableNormal"/>
    <w:next w:val="TableGrid"/>
    <w:uiPriority w:val="59"/>
    <w:rsid w:val="008B073A"/>
    <w:rPr>
      <w:rFonts w:ascii="Calibri" w:eastAsia="Calibri" w:hAnsi="Calibri" w:cs="Arial"/>
      <w:lang w:val="nb-NO"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B0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D537AC"/>
    <w:pPr>
      <w:jc w:val="center"/>
    </w:pPr>
    <w:rPr>
      <w:rFonts w:cs="Times"/>
      <w:noProof/>
      <w:lang w:val="en-US"/>
    </w:rPr>
  </w:style>
  <w:style w:type="character" w:customStyle="1" w:styleId="EndNoteBibliographyTitleChar">
    <w:name w:val="EndNote Bibliography Title Char"/>
    <w:basedOn w:val="DefaultParagraphFont"/>
    <w:link w:val="EndNoteBibliographyTitle"/>
    <w:rsid w:val="00D537AC"/>
    <w:rPr>
      <w:rFonts w:ascii="Times" w:hAnsi="Times" w:cs="Times"/>
      <w:noProof/>
      <w:sz w:val="22"/>
      <w:lang w:val="en-US" w:eastAsia="en-US"/>
    </w:rPr>
  </w:style>
  <w:style w:type="paragraph" w:customStyle="1" w:styleId="EndNoteBibliography">
    <w:name w:val="EndNote Bibliography"/>
    <w:basedOn w:val="Normal"/>
    <w:link w:val="EndNoteBibliographyChar"/>
    <w:rsid w:val="00D537AC"/>
    <w:pPr>
      <w:jc w:val="both"/>
    </w:pPr>
    <w:rPr>
      <w:rFonts w:cs="Times"/>
      <w:noProof/>
      <w:lang w:val="en-US"/>
    </w:rPr>
  </w:style>
  <w:style w:type="character" w:customStyle="1" w:styleId="EndNoteBibliographyChar">
    <w:name w:val="EndNote Bibliography Char"/>
    <w:basedOn w:val="DefaultParagraphFont"/>
    <w:link w:val="EndNoteBibliography"/>
    <w:rsid w:val="00D537AC"/>
    <w:rPr>
      <w:rFonts w:ascii="Times" w:hAnsi="Times" w:cs="Times"/>
      <w:noProof/>
      <w:sz w:val="22"/>
      <w:lang w:val="en-US" w:eastAsia="en-US"/>
    </w:rPr>
  </w:style>
  <w:style w:type="character" w:styleId="UnresolvedMention">
    <w:name w:val="Unresolved Mention"/>
    <w:basedOn w:val="DefaultParagraphFont"/>
    <w:uiPriority w:val="99"/>
    <w:semiHidden/>
    <w:unhideWhenUsed/>
    <w:rsid w:val="00D537A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44D66"/>
    <w:pPr>
      <w:spacing w:after="0"/>
    </w:pPr>
    <w:rPr>
      <w:rFonts w:ascii="Times" w:eastAsia="Times New Roman" w:hAnsi="Times"/>
      <w:b/>
      <w:bCs/>
    </w:rPr>
  </w:style>
  <w:style w:type="character" w:customStyle="1" w:styleId="CommentSubjectChar">
    <w:name w:val="Comment Subject Char"/>
    <w:basedOn w:val="CommentTextChar"/>
    <w:link w:val="CommentSubject"/>
    <w:uiPriority w:val="99"/>
    <w:semiHidden/>
    <w:rsid w:val="00344D66"/>
    <w:rPr>
      <w:rFonts w:ascii="Times" w:eastAsia="Arial" w:hAnsi="Times"/>
      <w:b/>
      <w:bCs/>
      <w:lang w:eastAsia="en-US"/>
    </w:rPr>
  </w:style>
  <w:style w:type="paragraph" w:styleId="Revision">
    <w:name w:val="Revision"/>
    <w:hidden/>
    <w:uiPriority w:val="99"/>
    <w:semiHidden/>
    <w:rsid w:val="007168A4"/>
    <w:rPr>
      <w:rFonts w:ascii="Times" w:hAnsi="Times"/>
      <w:sz w:val="22"/>
      <w:lang w:eastAsia="en-US"/>
    </w:rPr>
  </w:style>
  <w:style w:type="paragraph" w:styleId="ListParagraph">
    <w:name w:val="List Paragraph"/>
    <w:basedOn w:val="Normal"/>
    <w:uiPriority w:val="34"/>
    <w:qFormat/>
    <w:rsid w:val="009C37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25421">
      <w:bodyDiv w:val="1"/>
      <w:marLeft w:val="0"/>
      <w:marRight w:val="0"/>
      <w:marTop w:val="0"/>
      <w:marBottom w:val="0"/>
      <w:divBdr>
        <w:top w:val="none" w:sz="0" w:space="0" w:color="auto"/>
        <w:left w:val="none" w:sz="0" w:space="0" w:color="auto"/>
        <w:bottom w:val="none" w:sz="0" w:space="0" w:color="auto"/>
        <w:right w:val="none" w:sz="0" w:space="0" w:color="auto"/>
      </w:divBdr>
    </w:div>
    <w:div w:id="484930095">
      <w:bodyDiv w:val="1"/>
      <w:marLeft w:val="0"/>
      <w:marRight w:val="0"/>
      <w:marTop w:val="0"/>
      <w:marBottom w:val="0"/>
      <w:divBdr>
        <w:top w:val="none" w:sz="0" w:space="0" w:color="auto"/>
        <w:left w:val="none" w:sz="0" w:space="0" w:color="auto"/>
        <w:bottom w:val="none" w:sz="0" w:space="0" w:color="auto"/>
        <w:right w:val="none" w:sz="0" w:space="0" w:color="auto"/>
      </w:divBdr>
    </w:div>
    <w:div w:id="747653777">
      <w:bodyDiv w:val="1"/>
      <w:marLeft w:val="0"/>
      <w:marRight w:val="0"/>
      <w:marTop w:val="0"/>
      <w:marBottom w:val="0"/>
      <w:divBdr>
        <w:top w:val="none" w:sz="0" w:space="0" w:color="auto"/>
        <w:left w:val="none" w:sz="0" w:space="0" w:color="auto"/>
        <w:bottom w:val="none" w:sz="0" w:space="0" w:color="auto"/>
        <w:right w:val="none" w:sz="0" w:space="0" w:color="auto"/>
      </w:divBdr>
    </w:div>
    <w:div w:id="774397678">
      <w:bodyDiv w:val="1"/>
      <w:marLeft w:val="0"/>
      <w:marRight w:val="0"/>
      <w:marTop w:val="0"/>
      <w:marBottom w:val="0"/>
      <w:divBdr>
        <w:top w:val="none" w:sz="0" w:space="0" w:color="auto"/>
        <w:left w:val="none" w:sz="0" w:space="0" w:color="auto"/>
        <w:bottom w:val="none" w:sz="0" w:space="0" w:color="auto"/>
        <w:right w:val="none" w:sz="0" w:space="0" w:color="auto"/>
      </w:divBdr>
    </w:div>
    <w:div w:id="815534315">
      <w:bodyDiv w:val="1"/>
      <w:marLeft w:val="0"/>
      <w:marRight w:val="0"/>
      <w:marTop w:val="0"/>
      <w:marBottom w:val="0"/>
      <w:divBdr>
        <w:top w:val="none" w:sz="0" w:space="0" w:color="auto"/>
        <w:left w:val="none" w:sz="0" w:space="0" w:color="auto"/>
        <w:bottom w:val="none" w:sz="0" w:space="0" w:color="auto"/>
        <w:right w:val="none" w:sz="0" w:space="0" w:color="auto"/>
      </w:divBdr>
    </w:div>
    <w:div w:id="855120807">
      <w:bodyDiv w:val="1"/>
      <w:marLeft w:val="0"/>
      <w:marRight w:val="0"/>
      <w:marTop w:val="0"/>
      <w:marBottom w:val="0"/>
      <w:divBdr>
        <w:top w:val="none" w:sz="0" w:space="0" w:color="auto"/>
        <w:left w:val="none" w:sz="0" w:space="0" w:color="auto"/>
        <w:bottom w:val="none" w:sz="0" w:space="0" w:color="auto"/>
        <w:right w:val="none" w:sz="0" w:space="0" w:color="auto"/>
      </w:divBdr>
    </w:div>
    <w:div w:id="867833289">
      <w:bodyDiv w:val="1"/>
      <w:marLeft w:val="0"/>
      <w:marRight w:val="0"/>
      <w:marTop w:val="0"/>
      <w:marBottom w:val="0"/>
      <w:divBdr>
        <w:top w:val="none" w:sz="0" w:space="0" w:color="auto"/>
        <w:left w:val="none" w:sz="0" w:space="0" w:color="auto"/>
        <w:bottom w:val="none" w:sz="0" w:space="0" w:color="auto"/>
        <w:right w:val="none" w:sz="0" w:space="0" w:color="auto"/>
      </w:divBdr>
    </w:div>
    <w:div w:id="1032996641">
      <w:bodyDiv w:val="1"/>
      <w:marLeft w:val="0"/>
      <w:marRight w:val="0"/>
      <w:marTop w:val="0"/>
      <w:marBottom w:val="0"/>
      <w:divBdr>
        <w:top w:val="none" w:sz="0" w:space="0" w:color="auto"/>
        <w:left w:val="none" w:sz="0" w:space="0" w:color="auto"/>
        <w:bottom w:val="none" w:sz="0" w:space="0" w:color="auto"/>
        <w:right w:val="none" w:sz="0" w:space="0" w:color="auto"/>
      </w:divBdr>
    </w:div>
    <w:div w:id="1257710614">
      <w:bodyDiv w:val="1"/>
      <w:marLeft w:val="0"/>
      <w:marRight w:val="0"/>
      <w:marTop w:val="0"/>
      <w:marBottom w:val="0"/>
      <w:divBdr>
        <w:top w:val="none" w:sz="0" w:space="0" w:color="auto"/>
        <w:left w:val="none" w:sz="0" w:space="0" w:color="auto"/>
        <w:bottom w:val="none" w:sz="0" w:space="0" w:color="auto"/>
        <w:right w:val="none" w:sz="0" w:space="0" w:color="auto"/>
      </w:divBdr>
    </w:div>
    <w:div w:id="1856531715">
      <w:bodyDiv w:val="1"/>
      <w:marLeft w:val="0"/>
      <w:marRight w:val="0"/>
      <w:marTop w:val="0"/>
      <w:marBottom w:val="0"/>
      <w:divBdr>
        <w:top w:val="none" w:sz="0" w:space="0" w:color="auto"/>
        <w:left w:val="none" w:sz="0" w:space="0" w:color="auto"/>
        <w:bottom w:val="none" w:sz="0" w:space="0" w:color="auto"/>
        <w:right w:val="none" w:sz="0" w:space="0" w:color="auto"/>
      </w:divBdr>
    </w:div>
    <w:div w:id="1893498438">
      <w:bodyDiv w:val="1"/>
      <w:marLeft w:val="0"/>
      <w:marRight w:val="0"/>
      <w:marTop w:val="0"/>
      <w:marBottom w:val="0"/>
      <w:divBdr>
        <w:top w:val="none" w:sz="0" w:space="0" w:color="auto"/>
        <w:left w:val="none" w:sz="0" w:space="0" w:color="auto"/>
        <w:bottom w:val="none" w:sz="0" w:space="0" w:color="auto"/>
        <w:right w:val="none" w:sz="0" w:space="0" w:color="auto"/>
      </w:divBdr>
    </w:div>
    <w:div w:id="1979871106">
      <w:bodyDiv w:val="1"/>
      <w:marLeft w:val="0"/>
      <w:marRight w:val="0"/>
      <w:marTop w:val="0"/>
      <w:marBottom w:val="0"/>
      <w:divBdr>
        <w:top w:val="none" w:sz="0" w:space="0" w:color="auto"/>
        <w:left w:val="none" w:sz="0" w:space="0" w:color="auto"/>
        <w:bottom w:val="none" w:sz="0" w:space="0" w:color="auto"/>
        <w:right w:val="none" w:sz="0" w:space="0" w:color="auto"/>
      </w:divBdr>
    </w:div>
    <w:div w:id="210102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redrik.s.fadnes@uis.no"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s://doi.org/10.1016/0140-7007(94)90059-0"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iea.org/reports/hea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iea.org/reports/tracking-clean-energy-progress-2023"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F9440-4524-446F-892B-F009BF8C3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433</TotalTime>
  <Pages>12</Pages>
  <Words>5106</Words>
  <Characters>68967</Characters>
  <Application>Microsoft Office Word</Application>
  <DocSecurity>0</DocSecurity>
  <Lines>574</Lines>
  <Paragraphs>147</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73926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Fredrik Skaug Fadnes</cp:lastModifiedBy>
  <cp:revision>8</cp:revision>
  <cp:lastPrinted>2023-10-13T06:54:00Z</cp:lastPrinted>
  <dcterms:created xsi:type="dcterms:W3CDTF">2023-10-13T05:15:00Z</dcterms:created>
  <dcterms:modified xsi:type="dcterms:W3CDTF">2023-10-13T18:19:00Z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7fce66-bf2d-46b5-b59a-9f0018501bcd_Enabled">
    <vt:lpwstr>true</vt:lpwstr>
  </property>
  <property fmtid="{D5CDD505-2E9C-101B-9397-08002B2CF9AE}" pid="3" name="MSIP_Label_2b7fce66-bf2d-46b5-b59a-9f0018501bcd_SetDate">
    <vt:lpwstr>2023-07-13T08:43:00Z</vt:lpwstr>
  </property>
  <property fmtid="{D5CDD505-2E9C-101B-9397-08002B2CF9AE}" pid="4" name="MSIP_Label_2b7fce66-bf2d-46b5-b59a-9f0018501bcd_Method">
    <vt:lpwstr>Standard</vt:lpwstr>
  </property>
  <property fmtid="{D5CDD505-2E9C-101B-9397-08002B2CF9AE}" pid="5" name="MSIP_Label_2b7fce66-bf2d-46b5-b59a-9f0018501bcd_Name">
    <vt:lpwstr>s_Intern</vt:lpwstr>
  </property>
  <property fmtid="{D5CDD505-2E9C-101B-9397-08002B2CF9AE}" pid="6" name="MSIP_Label_2b7fce66-bf2d-46b5-b59a-9f0018501bcd_SiteId">
    <vt:lpwstr>f8a213d2-8f6c-400d-9e74-4e8b475316c6</vt:lpwstr>
  </property>
  <property fmtid="{D5CDD505-2E9C-101B-9397-08002B2CF9AE}" pid="7" name="MSIP_Label_2b7fce66-bf2d-46b5-b59a-9f0018501bcd_ActionId">
    <vt:lpwstr>586ca4ac-602d-4b21-84f2-04255754cdb5</vt:lpwstr>
  </property>
  <property fmtid="{D5CDD505-2E9C-101B-9397-08002B2CF9AE}" pid="8" name="MSIP_Label_2b7fce66-bf2d-46b5-b59a-9f0018501bcd_ContentBits">
    <vt:lpwstr>0</vt:lpwstr>
  </property>
</Properties>
</file>