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13D1B" w14:textId="77777777" w:rsidR="00EA1543" w:rsidRDefault="00EA1543">
      <w:pPr>
        <w:widowControl w:val="0"/>
        <w:pBdr>
          <w:top w:val="nil"/>
          <w:left w:val="nil"/>
          <w:bottom w:val="nil"/>
          <w:right w:val="nil"/>
          <w:between w:val="nil"/>
        </w:pBdr>
        <w:spacing w:line="276" w:lineRule="auto"/>
      </w:pPr>
    </w:p>
    <w:p w14:paraId="7AC13D1C" w14:textId="2214E8AD" w:rsidR="00EA1543" w:rsidRDefault="00ED5B14">
      <w:pPr>
        <w:pStyle w:val="Title"/>
        <w:rPr>
          <w:rFonts w:ascii="Times New Roman" w:eastAsia="Times New Roman" w:hAnsi="Times New Roman" w:cs="Times New Roman"/>
        </w:rPr>
      </w:pPr>
      <w:r>
        <w:rPr>
          <w:rFonts w:ascii="Times New Roman" w:eastAsia="Times New Roman" w:hAnsi="Times New Roman" w:cs="Times New Roman"/>
          <w:color w:val="111111"/>
        </w:rPr>
        <w:t xml:space="preserve">Numerical </w:t>
      </w:r>
      <w:r w:rsidR="00A011E1">
        <w:rPr>
          <w:rFonts w:ascii="Times New Roman" w:eastAsia="Times New Roman" w:hAnsi="Times New Roman" w:cs="Times New Roman"/>
          <w:color w:val="111111"/>
        </w:rPr>
        <w:t>Modelling</w:t>
      </w:r>
      <w:r>
        <w:rPr>
          <w:rFonts w:ascii="Times New Roman" w:eastAsia="Times New Roman" w:hAnsi="Times New Roman" w:cs="Times New Roman"/>
          <w:color w:val="111111"/>
        </w:rPr>
        <w:t xml:space="preserve"> of a High Temperature Borehole Thermal Energy Storage System: Norway Case Study</w:t>
      </w:r>
      <w:r>
        <w:rPr>
          <w:rFonts w:ascii="Times New Roman" w:eastAsia="Times New Roman" w:hAnsi="Times New Roman" w:cs="Times New Roman"/>
        </w:rPr>
        <w:t>.</w:t>
      </w:r>
    </w:p>
    <w:p w14:paraId="7AC13D1D" w14:textId="34D7F6BD" w:rsidR="00EA1543" w:rsidRDefault="00474F71">
      <w:pPr>
        <w:pBdr>
          <w:top w:val="nil"/>
          <w:left w:val="nil"/>
          <w:bottom w:val="nil"/>
          <w:right w:val="nil"/>
          <w:between w:val="nil"/>
        </w:pBdr>
        <w:spacing w:after="113"/>
        <w:ind w:left="1418"/>
        <w:rPr>
          <w:b/>
          <w:color w:val="000000"/>
        </w:rPr>
      </w:pPr>
      <w:r w:rsidRPr="00474F71">
        <w:rPr>
          <w:rFonts w:eastAsia="Times New Roman" w:cs="Times New Roman"/>
          <w:b/>
        </w:rPr>
        <w:t>A A Ahmed</w:t>
      </w:r>
      <w:r w:rsidRPr="00474F71">
        <w:rPr>
          <w:rFonts w:eastAsia="Times New Roman" w:cs="Times New Roman"/>
          <w:b/>
          <w:vertAlign w:val="superscript"/>
        </w:rPr>
        <w:t>1</w:t>
      </w:r>
      <w:r w:rsidR="00ED5B14">
        <w:rPr>
          <w:b/>
          <w:color w:val="000000"/>
        </w:rPr>
        <w:t>, M Assadi</w:t>
      </w:r>
      <w:proofErr w:type="gramStart"/>
      <w:r w:rsidRPr="00474F71">
        <w:rPr>
          <w:rFonts w:eastAsia="Times New Roman" w:cs="Times New Roman"/>
          <w:b/>
          <w:vertAlign w:val="superscript"/>
        </w:rPr>
        <w:t>1</w:t>
      </w:r>
      <w:r>
        <w:rPr>
          <w:rFonts w:eastAsia="Times New Roman" w:cs="Times New Roman"/>
          <w:b/>
          <w:vertAlign w:val="superscript"/>
        </w:rPr>
        <w:t>,</w:t>
      </w:r>
      <w:r w:rsidR="00ED5B14">
        <w:rPr>
          <w:b/>
          <w:vertAlign w:val="superscript"/>
        </w:rPr>
        <w:t>*</w:t>
      </w:r>
      <w:proofErr w:type="gramEnd"/>
      <w:r w:rsidR="00ED5B14">
        <w:rPr>
          <w:b/>
        </w:rPr>
        <w:t>, R Gholami</w:t>
      </w:r>
      <w:r w:rsidRPr="00474F71">
        <w:rPr>
          <w:rFonts w:eastAsia="Times New Roman" w:cs="Times New Roman"/>
          <w:b/>
          <w:vertAlign w:val="superscript"/>
        </w:rPr>
        <w:t>1</w:t>
      </w:r>
      <w:r w:rsidR="00ED5B14">
        <w:rPr>
          <w:b/>
        </w:rPr>
        <w:t>, N</w:t>
      </w:r>
      <w:r>
        <w:rPr>
          <w:b/>
        </w:rPr>
        <w:t xml:space="preserve"> </w:t>
      </w:r>
      <w:r w:rsidR="00ED5B14">
        <w:rPr>
          <w:b/>
        </w:rPr>
        <w:t>Ahmed</w:t>
      </w:r>
      <w:r w:rsidRPr="00474F71">
        <w:rPr>
          <w:rFonts w:eastAsia="Times New Roman" w:cs="Times New Roman"/>
          <w:b/>
          <w:vertAlign w:val="superscript"/>
        </w:rPr>
        <w:t>1</w:t>
      </w:r>
      <w:r>
        <w:rPr>
          <w:rFonts w:eastAsia="Times New Roman" w:cs="Times New Roman"/>
          <w:b/>
          <w:vertAlign w:val="superscript"/>
        </w:rPr>
        <w:t>,2</w:t>
      </w:r>
    </w:p>
    <w:p w14:paraId="10E740C6" w14:textId="35BC9CFD" w:rsidR="00474F71" w:rsidRPr="00474F71" w:rsidRDefault="00ED5B14" w:rsidP="00474F71">
      <w:pPr>
        <w:pBdr>
          <w:top w:val="nil"/>
          <w:left w:val="nil"/>
          <w:bottom w:val="nil"/>
          <w:right w:val="nil"/>
          <w:between w:val="nil"/>
        </w:pBdr>
        <w:ind w:left="1418"/>
        <w:rPr>
          <w:rFonts w:eastAsia="Times New Roman" w:cs="Times New Roman"/>
        </w:rPr>
      </w:pPr>
      <w:r>
        <w:rPr>
          <w:color w:val="000000"/>
          <w:vertAlign w:val="superscript"/>
        </w:rPr>
        <w:t xml:space="preserve"> </w:t>
      </w:r>
      <w:r w:rsidR="00474F71" w:rsidRPr="00474F71">
        <w:rPr>
          <w:rFonts w:eastAsia="Times New Roman" w:cs="Times New Roman"/>
          <w:vertAlign w:val="superscript"/>
        </w:rPr>
        <w:t xml:space="preserve">1 </w:t>
      </w:r>
      <w:r w:rsidR="00474F71" w:rsidRPr="00474F71">
        <w:rPr>
          <w:rFonts w:eastAsia="Times New Roman" w:cs="Times New Roman"/>
        </w:rPr>
        <w:t>Department of Energy and Petroleum Engineering, University of Stavanger, 4021 Stavanger Norway</w:t>
      </w:r>
    </w:p>
    <w:p w14:paraId="12ACB331" w14:textId="77777777" w:rsidR="00474F71" w:rsidRPr="00474F71" w:rsidRDefault="00474F71" w:rsidP="00474F71">
      <w:pPr>
        <w:ind w:left="1418"/>
        <w:rPr>
          <w:rFonts w:eastAsia="Times New Roman" w:cs="Times New Roman"/>
        </w:rPr>
      </w:pPr>
      <w:r w:rsidRPr="00474F71">
        <w:rPr>
          <w:rFonts w:eastAsia="Times New Roman" w:cs="Times New Roman"/>
          <w:vertAlign w:val="superscript"/>
        </w:rPr>
        <w:t xml:space="preserve">2 </w:t>
      </w:r>
      <w:r w:rsidRPr="00474F71">
        <w:rPr>
          <w:rFonts w:eastAsia="Times New Roman" w:cs="Times New Roman"/>
        </w:rPr>
        <w:t>US Pakistan Centre for Advanced Studies in Energy (USPCASE), National University of Sciences &amp; Technology (NUST), H-12 Sector, Islamabad, Pakistan</w:t>
      </w:r>
    </w:p>
    <w:p w14:paraId="27EDE2AF" w14:textId="77777777" w:rsidR="00474F71" w:rsidRDefault="00474F71">
      <w:pPr>
        <w:pBdr>
          <w:top w:val="nil"/>
          <w:left w:val="nil"/>
          <w:bottom w:val="nil"/>
          <w:right w:val="nil"/>
          <w:between w:val="nil"/>
        </w:pBdr>
        <w:ind w:left="1418"/>
        <w:rPr>
          <w:color w:val="000000"/>
        </w:rPr>
      </w:pPr>
    </w:p>
    <w:p w14:paraId="7AC13D20" w14:textId="31D19BE2" w:rsidR="00EA1543" w:rsidRDefault="0010340A">
      <w:pPr>
        <w:pBdr>
          <w:top w:val="nil"/>
          <w:left w:val="nil"/>
          <w:bottom w:val="nil"/>
          <w:right w:val="nil"/>
          <w:between w:val="nil"/>
        </w:pBdr>
        <w:spacing w:after="240"/>
        <w:ind w:left="1418"/>
        <w:rPr>
          <w:color w:val="000000"/>
        </w:rPr>
      </w:pPr>
      <w:r>
        <w:rPr>
          <w:color w:val="000000"/>
          <w:vertAlign w:val="superscript"/>
        </w:rPr>
        <w:t xml:space="preserve"> </w:t>
      </w:r>
      <w:r>
        <w:rPr>
          <w:vertAlign w:val="superscript"/>
        </w:rPr>
        <w:t xml:space="preserve">* </w:t>
      </w:r>
      <w:r w:rsidRPr="00B91EE2">
        <w:t xml:space="preserve">Corresponding author: </w:t>
      </w:r>
      <w:r w:rsidR="00ED5B14">
        <w:rPr>
          <w:color w:val="000000"/>
          <w:vertAlign w:val="superscript"/>
        </w:rPr>
        <w:t xml:space="preserve"> </w:t>
      </w:r>
      <w:r w:rsidR="00ED5B14">
        <w:t>mohsin.assadi@uis.no</w:t>
      </w:r>
    </w:p>
    <w:p w14:paraId="7AC13D21" w14:textId="77777777" w:rsidR="00EA1543" w:rsidRDefault="00ED5B14">
      <w:pPr>
        <w:pBdr>
          <w:top w:val="nil"/>
          <w:left w:val="nil"/>
          <w:bottom w:val="nil"/>
          <w:right w:val="nil"/>
          <w:between w:val="nil"/>
        </w:pBdr>
        <w:spacing w:after="454"/>
        <w:ind w:left="1418"/>
        <w:jc w:val="both"/>
        <w:rPr>
          <w:rFonts w:ascii="Times New Roman" w:eastAsia="Times New Roman" w:hAnsi="Times New Roman" w:cs="Times New Roman"/>
          <w:color w:val="000000"/>
          <w:sz w:val="20"/>
          <w:szCs w:val="20"/>
        </w:rPr>
      </w:pPr>
      <w:r>
        <w:rPr>
          <w:b/>
          <w:color w:val="000000"/>
          <w:sz w:val="20"/>
          <w:szCs w:val="20"/>
        </w:rPr>
        <w:t>Abstract</w:t>
      </w:r>
      <w:r>
        <w:rPr>
          <w:color w:val="000000"/>
          <w:sz w:val="20"/>
          <w:szCs w:val="20"/>
        </w:rPr>
        <w:t xml:space="preserve">. </w:t>
      </w:r>
      <w:r>
        <w:rPr>
          <w:rFonts w:ascii="Times New Roman" w:eastAsia="Times New Roman" w:hAnsi="Times New Roman" w:cs="Times New Roman"/>
          <w:sz w:val="20"/>
          <w:szCs w:val="20"/>
        </w:rPr>
        <w:t>Global warming is threatening life on earth. Utilising renewable energy is considered as the most effective measure to minimise anthropogenic CO</w:t>
      </w:r>
      <w:r>
        <w:rPr>
          <w:rFonts w:ascii="Times New Roman" w:eastAsia="Times New Roman" w:hAnsi="Times New Roman" w:cs="Times New Roman"/>
          <w:sz w:val="20"/>
          <w:szCs w:val="20"/>
          <w:vertAlign w:val="subscript"/>
        </w:rPr>
        <w:t xml:space="preserve">2 </w:t>
      </w:r>
      <w:r>
        <w:rPr>
          <w:rFonts w:ascii="Times New Roman" w:eastAsia="Times New Roman" w:hAnsi="Times New Roman" w:cs="Times New Roman"/>
          <w:sz w:val="20"/>
          <w:szCs w:val="20"/>
        </w:rPr>
        <w:t xml:space="preserve">emissions. High-temperature borehole thermal energy storage (BTES) systems have a world-wide potential to reduce energy consumption, increase energy utilisation of waste heat and provide efficient seasonal heat storage. Hybrid application of BTES and solar energy leads to net zero emissions. In this study HT-BTES is evaluated for seasonal thermal heat storage and recovery. To this end, a CMG STARS model was built and validated using the existing 100-wells BTES system in Norway. Then, the model was used to evaluate BTES thermal performance and thermal recovery efficiency. Sensitivity analysis was also conducted to study the dynamics of storage temperature in the BTES under different operating conditions, such as heat carrier flow rate, injection temperature, and charging period. Results of this case study show that the model-predicted temperatures during charging and discharging are in good agreement with the existing BTES system. In 5 years of operation, 35.5% of the heat injected into the BTES system was recovered, while the significant heat remained in the borehole region and lost to surrounding rock (64.5%).  BTES was found very sensitive to flow rate, the charging period and injection temperature. Borehole depth has a minimal effect on BTES storage temperature at constant studied injection temperature. </w:t>
      </w:r>
    </w:p>
    <w:p w14:paraId="7AC13D22" w14:textId="77777777" w:rsidR="00EA1543" w:rsidRDefault="00ED5B14">
      <w:pPr>
        <w:numPr>
          <w:ilvl w:val="0"/>
          <w:numId w:val="2"/>
        </w:numPr>
        <w:pBdr>
          <w:top w:val="nil"/>
          <w:left w:val="nil"/>
          <w:bottom w:val="nil"/>
          <w:right w:val="nil"/>
          <w:between w:val="nil"/>
        </w:pBdr>
        <w:spacing w:before="240"/>
        <w:ind w:left="283" w:hanging="283"/>
        <w:rPr>
          <w:b/>
          <w:color w:val="000000"/>
        </w:rPr>
      </w:pPr>
      <w:r>
        <w:rPr>
          <w:b/>
          <w:color w:val="000000"/>
        </w:rPr>
        <w:t>Introduction</w:t>
      </w:r>
    </w:p>
    <w:p w14:paraId="119F3D3D" w14:textId="77777777" w:rsidR="00DD0681" w:rsidRDefault="00ED5B14">
      <w:pPr>
        <w:spacing w:after="180"/>
        <w:jc w:val="both"/>
        <w:rPr>
          <w:rFonts w:ascii="Times New Roman" w:eastAsia="Times New Roman" w:hAnsi="Times New Roman" w:cs="Times New Roman"/>
        </w:rPr>
      </w:pPr>
      <w:r>
        <w:rPr>
          <w:rFonts w:ascii="Times New Roman" w:eastAsia="Times New Roman" w:hAnsi="Times New Roman" w:cs="Times New Roman"/>
        </w:rPr>
        <w:t xml:space="preserve">Anthropogenic climate change is threatening nature and society by altering temperatures and weather patterns. Floods, droughts, and wildfires are becoming more frequent in many parts of the world. Developing a sustainable energy strategy is imperative for protecting natural resources and ensuring future generations well-being. In response, most countries have joined an alliance to gradually reduce greenhouse gas (GHG) emissions as they strive to reach net zero emissions by 2050. Following the same energy transition policy, Norway is increasing its actions and responsibilities to tackle emissions despite having a low carbon-intensity energy system [1]. In its ambitious climate action plan, Norway aims to cut greenhouse gas emissions by at least 50% and towards 55 % by 2030 compared to 1990 emissions baseline [2]. That would result in less than 23 million tonnes of carbon dioxide equivalent emissions in 2030 compared with approximately 52 million tonnes in 1990 [3]. To achieve this ambitious goal, it requires electrification of various sectors, including transport, manufacturing and oil and gas extraction [1]. This in turn requires adequate, </w:t>
      </w:r>
      <w:proofErr w:type="gramStart"/>
      <w:r>
        <w:rPr>
          <w:rFonts w:ascii="Times New Roman" w:eastAsia="Times New Roman" w:hAnsi="Times New Roman" w:cs="Times New Roman"/>
        </w:rPr>
        <w:t>flexible</w:t>
      </w:r>
      <w:proofErr w:type="gramEnd"/>
      <w:r>
        <w:rPr>
          <w:rFonts w:ascii="Times New Roman" w:eastAsia="Times New Roman" w:hAnsi="Times New Roman" w:cs="Times New Roman"/>
        </w:rPr>
        <w:t xml:space="preserve"> and clean energy supply sources such as geothermal, wind </w:t>
      </w:r>
      <w:r>
        <w:rPr>
          <w:rFonts w:ascii="Times New Roman" w:eastAsia="Times New Roman" w:hAnsi="Times New Roman" w:cs="Times New Roman"/>
        </w:rPr>
        <w:lastRenderedPageBreak/>
        <w:t xml:space="preserve">and solar to reduce emissions. Solar power represents an almost insignificant share of renewable energy in Norway. However, the Norwegian Solar Energy market is expanding rapidly and is projected to increase from 358 MW in 2022 to 4943 MW by 2028 [4]. Furthermore, the intermittency of solar energy poses challenges to its broad application. However, seasonal borehole thermal energy storage (BTES), which includes technologies both for short- and long-term retention of heat, can create or improve the utility of solar energy. </w:t>
      </w:r>
    </w:p>
    <w:p w14:paraId="7AC13D23" w14:textId="491A50EC" w:rsidR="00EA1543" w:rsidRDefault="00ED5B14" w:rsidP="00DD0681">
      <w:pPr>
        <w:spacing w:after="180"/>
        <w:ind w:firstLine="540"/>
        <w:jc w:val="both"/>
        <w:rPr>
          <w:rFonts w:ascii="Times New Roman" w:eastAsia="Times New Roman" w:hAnsi="Times New Roman" w:cs="Times New Roman"/>
          <w:color w:val="222222"/>
          <w:highlight w:val="white"/>
        </w:rPr>
      </w:pPr>
      <w:r>
        <w:rPr>
          <w:rFonts w:ascii="Times New Roman" w:eastAsia="Times New Roman" w:hAnsi="Times New Roman" w:cs="Times New Roman"/>
        </w:rPr>
        <w:t xml:space="preserve">The BTES system offers multiple opportunities as it offsets the mismatch between thermal energy production from solar and demand and reduces grid dependence [5]. The </w:t>
      </w:r>
      <w:r>
        <w:rPr>
          <w:rFonts w:ascii="Times New Roman" w:eastAsia="Times New Roman" w:hAnsi="Times New Roman" w:cs="Times New Roman"/>
          <w:color w:val="222222"/>
          <w:highlight w:val="white"/>
        </w:rPr>
        <w:t>BTES are vertical boreholes that are piped in series or parallel to create concentric thermal zones (see Figure 1). Therefore, heat is stored in a rock environment near</w:t>
      </w:r>
      <w:r>
        <w:rPr>
          <w:rFonts w:ascii="Times New Roman" w:eastAsia="Times New Roman" w:hAnsi="Times New Roman" w:cs="Times New Roman"/>
        </w:rPr>
        <w:t xml:space="preserve"> to the boreholes as a storage medium, and heat exchange occurs through vertical boreholes [6, 7]. </w:t>
      </w:r>
      <w:r>
        <w:rPr>
          <w:rFonts w:ascii="Times New Roman" w:eastAsia="Times New Roman" w:hAnsi="Times New Roman" w:cs="Times New Roman"/>
          <w:color w:val="222222"/>
          <w:highlight w:val="white"/>
        </w:rPr>
        <w:t xml:space="preserve">It has the advantages of creating cold and warm zones as well as the possibility to switch to a reverse flow. Large solar thermal collector fields are promising technology for replacing fossil fuels in heating and cooling systems. So, BTES is a huge natural capacity to temporarily store this solar energy (harvested in summer) when the demand is low, and then recover it when the demand is high in the future. The recovered thermal energy can be used for heating buildings. </w:t>
      </w:r>
      <w:r>
        <w:rPr>
          <w:rFonts w:ascii="Times New Roman" w:eastAsia="Times New Roman" w:hAnsi="Times New Roman" w:cs="Times New Roman"/>
        </w:rPr>
        <w:t>The main drawbacks of BTES systems are their slow response time and high thermal losses. Heat transfer from the ground to the heat transfer fluid is relatively slow due to low heat transfer rates [8, 9].</w:t>
      </w:r>
    </w:p>
    <w:p w14:paraId="7AC13D24" w14:textId="77777777" w:rsidR="00EA1543" w:rsidRDefault="00ED5B14">
      <w:pPr>
        <w:spacing w:after="180"/>
        <w:jc w:val="center"/>
        <w:rPr>
          <w:rFonts w:ascii="Times New Roman" w:eastAsia="Times New Roman" w:hAnsi="Times New Roman" w:cs="Times New Roman"/>
          <w:color w:val="222222"/>
          <w:highlight w:val="white"/>
        </w:rPr>
      </w:pPr>
      <w:r>
        <w:rPr>
          <w:rFonts w:ascii="Times New Roman" w:eastAsia="Times New Roman" w:hAnsi="Times New Roman" w:cs="Times New Roman"/>
          <w:noProof/>
          <w:color w:val="222222"/>
          <w:highlight w:val="white"/>
        </w:rPr>
        <w:drawing>
          <wp:inline distT="114300" distB="114300" distL="114300" distR="114300" wp14:anchorId="7AC13DD4" wp14:editId="36E6BAD7">
            <wp:extent cx="3699164" cy="3054927"/>
            <wp:effectExtent l="0" t="0" r="0" b="0"/>
            <wp:docPr id="2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706764" cy="3061203"/>
                    </a:xfrm>
                    <a:prstGeom prst="rect">
                      <a:avLst/>
                    </a:prstGeom>
                    <a:ln/>
                  </pic:spPr>
                </pic:pic>
              </a:graphicData>
            </a:graphic>
          </wp:inline>
        </w:drawing>
      </w:r>
    </w:p>
    <w:p w14:paraId="7AC13D25" w14:textId="77777777" w:rsidR="00EA1543" w:rsidRDefault="00ED5B14">
      <w:pPr>
        <w:spacing w:after="180"/>
        <w:jc w:val="center"/>
        <w:rPr>
          <w:rFonts w:ascii="Times New Roman" w:eastAsia="Times New Roman" w:hAnsi="Times New Roman" w:cs="Times New Roman"/>
          <w:color w:val="111111"/>
          <w:highlight w:val="white"/>
        </w:rPr>
      </w:pPr>
      <w:r>
        <w:rPr>
          <w:rFonts w:ascii="Times New Roman" w:eastAsia="Times New Roman" w:hAnsi="Times New Roman" w:cs="Times New Roman"/>
          <w:b/>
          <w:color w:val="222222"/>
          <w:highlight w:val="white"/>
        </w:rPr>
        <w:t>Figure 1.</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color w:val="111111"/>
          <w:highlight w:val="white"/>
        </w:rPr>
        <w:t>Schematic of Borehole Thermal Energy Storage (BTES and BHEs are connected in series).</w:t>
      </w:r>
    </w:p>
    <w:p w14:paraId="7AC13D27" w14:textId="3D3865BD" w:rsidR="00EA1543" w:rsidRDefault="00ED5B14" w:rsidP="00DD0681">
      <w:pPr>
        <w:spacing w:after="180"/>
        <w:ind w:firstLine="540"/>
        <w:jc w:val="both"/>
        <w:rPr>
          <w:rFonts w:ascii="Times New Roman" w:eastAsia="Times New Roman" w:hAnsi="Times New Roman" w:cs="Times New Roman"/>
          <w:color w:val="222222"/>
          <w:highlight w:val="white"/>
        </w:rPr>
      </w:pPr>
      <w:r>
        <w:rPr>
          <w:rFonts w:ascii="Times New Roman" w:eastAsia="Times New Roman" w:hAnsi="Times New Roman" w:cs="Times New Roman"/>
        </w:rPr>
        <w:t xml:space="preserve">This study, a simulation for </w:t>
      </w:r>
      <w:r>
        <w:t>BTES system, is performed to history-match an existing BTES system (</w:t>
      </w:r>
      <w:r>
        <w:rPr>
          <w:rFonts w:ascii="Times New Roman" w:eastAsia="Times New Roman" w:hAnsi="Times New Roman" w:cs="Times New Roman"/>
          <w:color w:val="222222"/>
          <w:highlight w:val="white"/>
        </w:rPr>
        <w:t>GeoTermos Project)</w:t>
      </w:r>
      <w:r>
        <w:t xml:space="preserve"> used to store heat in summer and provide space heating in winter for the Fjell School building (1000 m</w:t>
      </w:r>
      <w:r>
        <w:rPr>
          <w:vertAlign w:val="superscript"/>
        </w:rPr>
        <w:t>2</w:t>
      </w:r>
      <w:r>
        <w:t xml:space="preserve">) located in Drammen, Norway. The </w:t>
      </w:r>
      <w:r>
        <w:rPr>
          <w:rFonts w:ascii="Times New Roman" w:eastAsia="Times New Roman" w:hAnsi="Times New Roman" w:cs="Times New Roman"/>
          <w:color w:val="222222"/>
          <w:highlight w:val="white"/>
        </w:rPr>
        <w:t xml:space="preserve">GeoTermos consists primarily of a thermal storage facility consisting of a total of 100 wells, each with a depth of approx. 50 meters, </w:t>
      </w:r>
      <w:r>
        <w:rPr>
          <w:rFonts w:ascii="Times New Roman" w:eastAsia="Times New Roman" w:hAnsi="Times New Roman" w:cs="Times New Roman"/>
          <w:color w:val="1A1C2E"/>
          <w:highlight w:val="white"/>
        </w:rPr>
        <w:t>which are organised as a cylinder with a diameter of 40 meters</w:t>
      </w:r>
      <w:r>
        <w:rPr>
          <w:rFonts w:ascii="Times New Roman" w:eastAsia="Times New Roman" w:hAnsi="Times New Roman" w:cs="Times New Roman"/>
          <w:color w:val="222222"/>
          <w:highlight w:val="white"/>
        </w:rPr>
        <w:t>. Energy is supplied directly from solar collectors (150 m2) and solar cells mounted on roofs (900 m</w:t>
      </w:r>
      <w:r>
        <w:rPr>
          <w:rFonts w:ascii="Times New Roman" w:eastAsia="Times New Roman" w:hAnsi="Times New Roman" w:cs="Times New Roman"/>
          <w:color w:val="222222"/>
          <w:highlight w:val="white"/>
          <w:vertAlign w:val="superscript"/>
        </w:rPr>
        <w:t>2</w:t>
      </w:r>
      <w:r>
        <w:rPr>
          <w:rFonts w:ascii="Times New Roman" w:eastAsia="Times New Roman" w:hAnsi="Times New Roman" w:cs="Times New Roman"/>
          <w:color w:val="222222"/>
          <w:highlight w:val="white"/>
        </w:rPr>
        <w:t>) and in façades (100 m</w:t>
      </w:r>
      <w:r>
        <w:rPr>
          <w:rFonts w:ascii="Times New Roman" w:eastAsia="Times New Roman" w:hAnsi="Times New Roman" w:cs="Times New Roman"/>
          <w:color w:val="222222"/>
          <w:highlight w:val="white"/>
          <w:vertAlign w:val="superscript"/>
        </w:rPr>
        <w:t>2</w:t>
      </w:r>
      <w:r>
        <w:rPr>
          <w:rFonts w:ascii="Times New Roman" w:eastAsia="Times New Roman" w:hAnsi="Times New Roman" w:cs="Times New Roman"/>
          <w:color w:val="222222"/>
          <w:highlight w:val="white"/>
        </w:rPr>
        <w:t xml:space="preserve">) as shown in Figure 2. The solar cells supply electricity for an air source heat pump </w:t>
      </w:r>
      <w:r>
        <w:rPr>
          <w:rFonts w:ascii="Times New Roman" w:eastAsia="Times New Roman" w:hAnsi="Times New Roman" w:cs="Times New Roman"/>
          <w:color w:val="1A1C2E"/>
          <w:highlight w:val="white"/>
        </w:rPr>
        <w:t>that uses natural refrigerant CO2</w:t>
      </w:r>
      <w:r>
        <w:rPr>
          <w:rFonts w:ascii="Times New Roman" w:eastAsia="Times New Roman" w:hAnsi="Times New Roman" w:cs="Times New Roman"/>
          <w:color w:val="222222"/>
          <w:highlight w:val="white"/>
        </w:rPr>
        <w:t>. Direct heating of the school, by 30</w:t>
      </w:r>
      <w:r>
        <w:rPr>
          <w:rFonts w:ascii="Times New Roman" w:eastAsia="Times New Roman" w:hAnsi="Times New Roman" w:cs="Times New Roman"/>
        </w:rPr>
        <w:t>°C</w:t>
      </w:r>
      <w:r>
        <w:rPr>
          <w:rFonts w:ascii="Times New Roman" w:eastAsia="Times New Roman" w:hAnsi="Times New Roman" w:cs="Times New Roman"/>
          <w:color w:val="222222"/>
          <w:highlight w:val="white"/>
        </w:rPr>
        <w:t xml:space="preserve"> water-based underfloor heating system. Injection of heat started in April 2020. After 6 months of heat injection the rock temperature recorded in Sept 2021 reached &lt;43</w:t>
      </w:r>
      <w:r>
        <w:rPr>
          <w:rFonts w:ascii="Times New Roman" w:eastAsia="Times New Roman" w:hAnsi="Times New Roman" w:cs="Times New Roman"/>
        </w:rPr>
        <w:t>°C</w:t>
      </w:r>
      <w:r>
        <w:rPr>
          <w:rFonts w:ascii="Times New Roman" w:eastAsia="Times New Roman" w:hAnsi="Times New Roman" w:cs="Times New Roman"/>
          <w:color w:val="222222"/>
          <w:highlight w:val="white"/>
        </w:rPr>
        <w:t>.</w:t>
      </w:r>
      <w:r w:rsidR="00B14E53" w:rsidRPr="00B14E53">
        <w:rPr>
          <w:rFonts w:ascii="Times New Roman" w:eastAsia="Times New Roman" w:hAnsi="Times New Roman" w:cs="Times New Roman"/>
          <w:color w:val="222222"/>
          <w:highlight w:val="white"/>
        </w:rPr>
        <w:t xml:space="preserve"> </w:t>
      </w:r>
      <w:r w:rsidR="00B14E53">
        <w:rPr>
          <w:rFonts w:ascii="Times New Roman" w:eastAsia="Times New Roman" w:hAnsi="Times New Roman" w:cs="Times New Roman"/>
          <w:color w:val="222222"/>
          <w:highlight w:val="white"/>
        </w:rPr>
        <w:t>Figure 3 illustrates fibre for distributed temperature sensing installed in 11 of the BHEs.</w:t>
      </w:r>
    </w:p>
    <w:p w14:paraId="481EA491" w14:textId="74E7813B" w:rsidR="004C7312" w:rsidRDefault="004C7312" w:rsidP="00DD0681">
      <w:pPr>
        <w:spacing w:after="180"/>
        <w:ind w:firstLine="540"/>
        <w:jc w:val="both"/>
        <w:rPr>
          <w:rFonts w:ascii="Times New Roman" w:eastAsia="Times New Roman" w:hAnsi="Times New Roman" w:cs="Times New Roman"/>
          <w:color w:val="222222"/>
          <w:highlight w:val="white"/>
        </w:rPr>
      </w:pPr>
      <w:r w:rsidRPr="004C7312">
        <w:rPr>
          <w:rFonts w:ascii="Times New Roman" w:eastAsia="Times New Roman" w:hAnsi="Times New Roman" w:cs="Times New Roman"/>
          <w:color w:val="222222"/>
        </w:rPr>
        <w:lastRenderedPageBreak/>
        <w:t xml:space="preserve">The incorporation of additional sensors, particularly the mass flow rate probe, introduces significant </w:t>
      </w:r>
      <w:r>
        <w:rPr>
          <w:rFonts w:ascii="Times New Roman" w:eastAsia="Times New Roman" w:hAnsi="Times New Roman" w:cs="Times New Roman"/>
          <w:color w:val="222222"/>
        </w:rPr>
        <w:t>implications</w:t>
      </w:r>
      <w:r w:rsidRPr="004C7312">
        <w:rPr>
          <w:rFonts w:ascii="Times New Roman" w:eastAsia="Times New Roman" w:hAnsi="Times New Roman" w:cs="Times New Roman"/>
          <w:color w:val="222222"/>
        </w:rPr>
        <w:t xml:space="preserve"> both technically and economically. While the advantages of enhanced data acquisition and system monitoring are evident in our </w:t>
      </w:r>
      <w:r>
        <w:rPr>
          <w:rFonts w:ascii="Times New Roman" w:eastAsia="Times New Roman" w:hAnsi="Times New Roman" w:cs="Times New Roman"/>
          <w:color w:val="222222"/>
        </w:rPr>
        <w:t xml:space="preserve">current </w:t>
      </w:r>
      <w:r w:rsidRPr="004C7312">
        <w:rPr>
          <w:rFonts w:ascii="Times New Roman" w:eastAsia="Times New Roman" w:hAnsi="Times New Roman" w:cs="Times New Roman"/>
          <w:color w:val="222222"/>
        </w:rPr>
        <w:t xml:space="preserve">study, the potential cost implications of such sensor implementations are acknowledged. To address this issue, a supplementary cost evaluation will be conducted for the installation of these sensors in our ongoing borehole field project at the University of Stavanger. This assessment will encompass an analysis of initial setup costs, ongoing maintenance expenses, and the potential economic benefits resulting from improved data quality and enhanced system efficiency facilitated by these sensors. The resulting assessment </w:t>
      </w:r>
      <w:r>
        <w:rPr>
          <w:rFonts w:ascii="Times New Roman" w:eastAsia="Times New Roman" w:hAnsi="Times New Roman" w:cs="Times New Roman"/>
          <w:color w:val="222222"/>
        </w:rPr>
        <w:t xml:space="preserve">to be presented in our future works will </w:t>
      </w:r>
      <w:r w:rsidRPr="004C7312">
        <w:rPr>
          <w:rFonts w:ascii="Times New Roman" w:eastAsia="Times New Roman" w:hAnsi="Times New Roman" w:cs="Times New Roman"/>
          <w:color w:val="222222"/>
        </w:rPr>
        <w:t>enabl</w:t>
      </w:r>
      <w:r>
        <w:rPr>
          <w:rFonts w:ascii="Times New Roman" w:eastAsia="Times New Roman" w:hAnsi="Times New Roman" w:cs="Times New Roman"/>
          <w:color w:val="222222"/>
        </w:rPr>
        <w:t>e the</w:t>
      </w:r>
      <w:r w:rsidRPr="004C7312">
        <w:rPr>
          <w:rFonts w:ascii="Times New Roman" w:eastAsia="Times New Roman" w:hAnsi="Times New Roman" w:cs="Times New Roman"/>
          <w:color w:val="222222"/>
        </w:rPr>
        <w:t xml:space="preserve"> readers to gain a better understanding of the trade-offs and advantages associated with sensor deployment in BTES system design and operation.</w:t>
      </w:r>
    </w:p>
    <w:p w14:paraId="7AC13D28" w14:textId="77777777" w:rsidR="00EA1543" w:rsidRDefault="00ED5B14">
      <w:pPr>
        <w:spacing w:after="180"/>
        <w:jc w:val="center"/>
        <w:rPr>
          <w:rFonts w:ascii="Times New Roman" w:eastAsia="Times New Roman" w:hAnsi="Times New Roman" w:cs="Times New Roman"/>
          <w:color w:val="222222"/>
          <w:highlight w:val="white"/>
        </w:rPr>
      </w:pPr>
      <w:r>
        <w:rPr>
          <w:rFonts w:ascii="Times New Roman" w:eastAsia="Times New Roman" w:hAnsi="Times New Roman" w:cs="Times New Roman"/>
          <w:noProof/>
          <w:color w:val="222222"/>
          <w:highlight w:val="white"/>
        </w:rPr>
        <w:drawing>
          <wp:inline distT="114300" distB="114300" distL="114300" distR="114300" wp14:anchorId="7AC13DD6" wp14:editId="5052FA62">
            <wp:extent cx="5340928" cy="2722419"/>
            <wp:effectExtent l="0" t="0" r="0" b="1905"/>
            <wp:docPr id="2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t="4878" b="2863"/>
                    <a:stretch/>
                  </pic:blipFill>
                  <pic:spPr bwMode="auto">
                    <a:xfrm>
                      <a:off x="0" y="0"/>
                      <a:ext cx="5360354" cy="2732321"/>
                    </a:xfrm>
                    <a:prstGeom prst="rect">
                      <a:avLst/>
                    </a:prstGeom>
                    <a:ln>
                      <a:noFill/>
                    </a:ln>
                    <a:extLst>
                      <a:ext uri="{53640926-AAD7-44D8-BBD7-CCE9431645EC}">
                        <a14:shadowObscured xmlns:a14="http://schemas.microsoft.com/office/drawing/2010/main"/>
                      </a:ext>
                    </a:extLst>
                  </pic:spPr>
                </pic:pic>
              </a:graphicData>
            </a:graphic>
          </wp:inline>
        </w:drawing>
      </w:r>
    </w:p>
    <w:p w14:paraId="7AC13D29" w14:textId="77777777" w:rsidR="00EA1543" w:rsidRDefault="00ED5B14">
      <w:pPr>
        <w:spacing w:after="180"/>
        <w:jc w:val="cente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Figure 2. </w:t>
      </w:r>
      <w:r>
        <w:rPr>
          <w:rFonts w:ascii="Times New Roman" w:eastAsia="Times New Roman" w:hAnsi="Times New Roman" w:cs="Times New Roman"/>
          <w:color w:val="222222"/>
          <w:highlight w:val="white"/>
        </w:rPr>
        <w:t>Schematic representation of the Fjell School BTES (GeoTermos) used in this study.</w:t>
      </w:r>
    </w:p>
    <w:p w14:paraId="2DBE638A" w14:textId="77777777" w:rsidR="0017522A" w:rsidRDefault="0017522A">
      <w:pPr>
        <w:spacing w:after="180"/>
        <w:jc w:val="center"/>
        <w:rPr>
          <w:rFonts w:ascii="Times New Roman" w:eastAsia="Times New Roman" w:hAnsi="Times New Roman" w:cs="Times New Roman"/>
          <w:b/>
          <w:color w:val="222222"/>
          <w:highlight w:val="white"/>
        </w:rPr>
      </w:pPr>
      <w:r>
        <w:rPr>
          <w:rFonts w:ascii="Times New Roman" w:eastAsia="Times New Roman" w:hAnsi="Times New Roman" w:cs="Times New Roman"/>
          <w:noProof/>
          <w:color w:val="222222"/>
          <w:highlight w:val="white"/>
        </w:rPr>
        <w:drawing>
          <wp:inline distT="114300" distB="114300" distL="114300" distR="114300" wp14:anchorId="6AB35E57" wp14:editId="46303B61">
            <wp:extent cx="4477819" cy="3061855"/>
            <wp:effectExtent l="0" t="0" r="0" b="5715"/>
            <wp:docPr id="2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1"/>
                    <a:srcRect t="3355" b="3963"/>
                    <a:stretch/>
                  </pic:blipFill>
                  <pic:spPr bwMode="auto">
                    <a:xfrm>
                      <a:off x="0" y="0"/>
                      <a:ext cx="4482029" cy="3064734"/>
                    </a:xfrm>
                    <a:prstGeom prst="rect">
                      <a:avLst/>
                    </a:prstGeom>
                    <a:ln>
                      <a:noFill/>
                    </a:ln>
                    <a:extLst>
                      <a:ext uri="{53640926-AAD7-44D8-BBD7-CCE9431645EC}">
                        <a14:shadowObscured xmlns:a14="http://schemas.microsoft.com/office/drawing/2010/main"/>
                      </a:ext>
                    </a:extLst>
                  </pic:spPr>
                </pic:pic>
              </a:graphicData>
            </a:graphic>
          </wp:inline>
        </w:drawing>
      </w:r>
    </w:p>
    <w:p w14:paraId="7AC13D2C" w14:textId="781A8DCA" w:rsidR="00EA1543" w:rsidRDefault="00ED5B14">
      <w:pPr>
        <w:spacing w:after="180"/>
        <w:jc w:val="cente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Figure 3. </w:t>
      </w:r>
      <w:r>
        <w:rPr>
          <w:rFonts w:ascii="Times New Roman" w:eastAsia="Times New Roman" w:hAnsi="Times New Roman" w:cs="Times New Roman"/>
          <w:color w:val="222222"/>
          <w:highlight w:val="white"/>
        </w:rPr>
        <w:t xml:space="preserve">Fibre for distributed temperature sensing installed in 11 of the </w:t>
      </w:r>
      <w:proofErr w:type="gramStart"/>
      <w:r>
        <w:rPr>
          <w:rFonts w:ascii="Times New Roman" w:eastAsia="Times New Roman" w:hAnsi="Times New Roman" w:cs="Times New Roman"/>
          <w:color w:val="222222"/>
          <w:highlight w:val="white"/>
        </w:rPr>
        <w:t>BHEs</w:t>
      </w:r>
      <w:proofErr w:type="gramEnd"/>
      <w:r>
        <w:rPr>
          <w:rFonts w:ascii="Times New Roman" w:eastAsia="Times New Roman" w:hAnsi="Times New Roman" w:cs="Times New Roman"/>
          <w:color w:val="222222"/>
          <w:highlight w:val="white"/>
        </w:rPr>
        <w:t xml:space="preserve"> </w:t>
      </w:r>
    </w:p>
    <w:p w14:paraId="7AC13D2E" w14:textId="77777777" w:rsidR="00EA1543" w:rsidRDefault="00ED5B14" w:rsidP="009B7AC4">
      <w:pPr>
        <w:spacing w:after="180"/>
        <w:ind w:firstLine="540"/>
        <w:jc w:val="both"/>
      </w:pPr>
      <w:r>
        <w:lastRenderedPageBreak/>
        <w:t>The model was then used to investigate the effect of underground properties, depth of borehole exchangers, charging/discharge cycle time and discharge efficiencies to determine overall thermal efficiency. In addition, the impact of injected water temperature was explored. The underground thermal storage system is based on seasonal cyclic injection and production from BTES. The solar energy is used to directly charge the BTES or using a heat pump fed by electricity produced from solar. CMG STARS Software was used to model BTES using geological properties, heat transport in the subsurface, and well characteristics. Then, the model was used to run a sensitivity analysis to determine the impact of main operational parameters on the potential of storing solar energy, utilisation efficiency and overall performance.</w:t>
      </w:r>
    </w:p>
    <w:p w14:paraId="7AC13D2F" w14:textId="77777777" w:rsidR="00EA1543" w:rsidRDefault="00EA1543">
      <w:pPr>
        <w:spacing w:after="180"/>
        <w:jc w:val="both"/>
        <w:rPr>
          <w:rFonts w:ascii="AdvGulliv-R" w:eastAsia="AdvGulliv-R" w:hAnsi="AdvGulliv-R" w:cs="AdvGulliv-R"/>
          <w:sz w:val="16"/>
          <w:szCs w:val="16"/>
        </w:rPr>
      </w:pPr>
    </w:p>
    <w:p w14:paraId="7AC13D30" w14:textId="77777777" w:rsidR="00EA1543" w:rsidRDefault="00ED5B14">
      <w:pPr>
        <w:numPr>
          <w:ilvl w:val="0"/>
          <w:numId w:val="2"/>
        </w:numPr>
        <w:pBdr>
          <w:top w:val="nil"/>
          <w:left w:val="nil"/>
          <w:bottom w:val="nil"/>
          <w:right w:val="nil"/>
          <w:between w:val="nil"/>
        </w:pBdr>
        <w:spacing w:before="240"/>
        <w:ind w:left="283" w:hanging="283"/>
        <w:rPr>
          <w:b/>
        </w:rPr>
      </w:pPr>
      <w:r>
        <w:rPr>
          <w:b/>
        </w:rPr>
        <w:t>Methodology</w:t>
      </w:r>
    </w:p>
    <w:p w14:paraId="7AC13D31" w14:textId="77777777" w:rsidR="00EA1543" w:rsidRDefault="00ED5B14">
      <w:pPr>
        <w:spacing w:after="180"/>
        <w:jc w:val="both"/>
        <w:rPr>
          <w:rFonts w:ascii="Times New Roman" w:eastAsia="Times New Roman" w:hAnsi="Times New Roman" w:cs="Times New Roman"/>
        </w:rPr>
      </w:pPr>
      <w:r>
        <w:rPr>
          <w:rFonts w:ascii="Times New Roman" w:eastAsia="Times New Roman" w:hAnsi="Times New Roman" w:cs="Times New Roman"/>
        </w:rPr>
        <w:t xml:space="preserve">CMG-STARS simulator (Version 2022.10) is used to measure heat storage, thermal heat production, subsurface heat distributions and efficiency of BTES. CMG-STARS models the heat transfer from injected water to the rock matrix. A three-dimensional (3D) model was created to simulate heat transfer with 100 wells (50 to 55 m each) as shown in Figure 4. The model dimensions are 120x120x60 meters. A regular coordinate system having three dimensions (i, j, k) was applied to the model. High grid resolution (1 </w:t>
      </w:r>
      <w:proofErr w:type="gramStart"/>
      <w:r>
        <w:rPr>
          <w:rFonts w:ascii="Times New Roman" w:eastAsia="Times New Roman" w:hAnsi="Times New Roman" w:cs="Times New Roman"/>
        </w:rPr>
        <w:t>meter )</w:t>
      </w:r>
      <w:proofErr w:type="gramEnd"/>
      <w:r>
        <w:rPr>
          <w:rFonts w:ascii="Times New Roman" w:eastAsia="Times New Roman" w:hAnsi="Times New Roman" w:cs="Times New Roman"/>
        </w:rPr>
        <w:t xml:space="preserve"> was used for the 3D grid to provide an improved accuracy in the area of drilled wells and avoid numerical diffusion.</w:t>
      </w:r>
      <w:r>
        <w:rPr>
          <w:rFonts w:ascii="Roboto" w:eastAsia="Roboto" w:hAnsi="Roboto" w:cs="Roboto"/>
          <w:color w:val="71777D"/>
          <w:sz w:val="21"/>
          <w:szCs w:val="21"/>
          <w:highlight w:val="white"/>
        </w:rPr>
        <w:t xml:space="preserve"> </w:t>
      </w:r>
      <w:r>
        <w:rPr>
          <w:rFonts w:ascii="Times New Roman" w:eastAsia="Times New Roman" w:hAnsi="Times New Roman" w:cs="Times New Roman"/>
        </w:rPr>
        <w:t>The main input parameters used for the simulation are summarised in Table 1.</w:t>
      </w:r>
    </w:p>
    <w:p w14:paraId="7AC13D32" w14:textId="77777777" w:rsidR="00EA1543" w:rsidRDefault="00EA1543">
      <w:pPr>
        <w:spacing w:after="180"/>
        <w:jc w:val="both"/>
        <w:rPr>
          <w:rFonts w:ascii="Times New Roman" w:eastAsia="Times New Roman" w:hAnsi="Times New Roman" w:cs="Times New Roman"/>
        </w:rPr>
      </w:pPr>
    </w:p>
    <w:p w14:paraId="7AC13D33" w14:textId="77777777" w:rsidR="00EA1543" w:rsidRDefault="00ED5B14">
      <w:pPr>
        <w:spacing w:after="18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19050" distB="19050" distL="19050" distR="19050" wp14:anchorId="7AC13DDA" wp14:editId="7AC13DDB">
            <wp:extent cx="4592475" cy="3386573"/>
            <wp:effectExtent l="0" t="0" r="0" b="0"/>
            <wp:docPr id="2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592475" cy="3386573"/>
                    </a:xfrm>
                    <a:prstGeom prst="rect">
                      <a:avLst/>
                    </a:prstGeom>
                    <a:ln/>
                  </pic:spPr>
                </pic:pic>
              </a:graphicData>
            </a:graphic>
          </wp:inline>
        </w:drawing>
      </w:r>
    </w:p>
    <w:p w14:paraId="7AC13D34" w14:textId="77777777" w:rsidR="00EA1543" w:rsidRDefault="00ED5B14">
      <w:pPr>
        <w:spacing w:after="180"/>
        <w:jc w:val="center"/>
        <w:rPr>
          <w:rFonts w:ascii="Times New Roman" w:eastAsia="Times New Roman" w:hAnsi="Times New Roman" w:cs="Times New Roman"/>
        </w:rPr>
      </w:pPr>
      <w:r>
        <w:rPr>
          <w:rFonts w:ascii="Times New Roman" w:eastAsia="Times New Roman" w:hAnsi="Times New Roman" w:cs="Times New Roman"/>
          <w:b/>
        </w:rPr>
        <w:t xml:space="preserve">Figure 4. </w:t>
      </w:r>
      <w:r>
        <w:rPr>
          <w:rFonts w:ascii="Times New Roman" w:eastAsia="Times New Roman" w:hAnsi="Times New Roman" w:cs="Times New Roman"/>
        </w:rPr>
        <w:t>The 3D view of the numerical model</w:t>
      </w:r>
    </w:p>
    <w:p w14:paraId="7AC13D35" w14:textId="77777777" w:rsidR="00EA1543" w:rsidRDefault="00EA1543">
      <w:pPr>
        <w:spacing w:after="180"/>
        <w:jc w:val="center"/>
        <w:rPr>
          <w:rFonts w:ascii="Times New Roman" w:eastAsia="Times New Roman" w:hAnsi="Times New Roman" w:cs="Times New Roman"/>
          <w:b/>
          <w:sz w:val="18"/>
          <w:szCs w:val="18"/>
        </w:rPr>
      </w:pPr>
    </w:p>
    <w:p w14:paraId="7AC13D36" w14:textId="77777777" w:rsidR="00EA1543" w:rsidRDefault="00EA1543">
      <w:pPr>
        <w:spacing w:after="180" w:line="360" w:lineRule="auto"/>
        <w:jc w:val="both"/>
        <w:rPr>
          <w:rFonts w:ascii="Times New Roman" w:eastAsia="Times New Roman" w:hAnsi="Times New Roman" w:cs="Times New Roman"/>
        </w:rPr>
      </w:pPr>
    </w:p>
    <w:p w14:paraId="1F84A46F" w14:textId="77777777" w:rsidR="0017522A" w:rsidRDefault="0017522A">
      <w:pPr>
        <w:spacing w:after="180" w:line="360" w:lineRule="auto"/>
        <w:jc w:val="both"/>
        <w:rPr>
          <w:rFonts w:ascii="Times New Roman" w:eastAsia="Times New Roman" w:hAnsi="Times New Roman" w:cs="Times New Roman"/>
        </w:rPr>
      </w:pPr>
    </w:p>
    <w:p w14:paraId="7AC13D37" w14:textId="77777777" w:rsidR="00EA1543" w:rsidRDefault="00ED5B14">
      <w:pPr>
        <w:spacing w:after="180" w:line="360" w:lineRule="auto"/>
        <w:jc w:val="center"/>
        <w:rPr>
          <w:rFonts w:ascii="Times New Roman" w:eastAsia="Times New Roman" w:hAnsi="Times New Roman" w:cs="Times New Roman"/>
        </w:rPr>
      </w:pPr>
      <w:r>
        <w:rPr>
          <w:rFonts w:ascii="Times New Roman" w:eastAsia="Times New Roman" w:hAnsi="Times New Roman" w:cs="Times New Roman"/>
          <w:b/>
        </w:rPr>
        <w:lastRenderedPageBreak/>
        <w:t>Table 1.</w:t>
      </w:r>
      <w:r>
        <w:rPr>
          <w:rFonts w:ascii="Times New Roman" w:eastAsia="Times New Roman" w:hAnsi="Times New Roman" w:cs="Times New Roman"/>
        </w:rPr>
        <w:t xml:space="preserve"> Input parameters for HT-ATES CMG STARS Modelling</w:t>
      </w:r>
    </w:p>
    <w:p w14:paraId="7AC13D38" w14:textId="77777777" w:rsidR="00EA1543" w:rsidRDefault="00EA1543">
      <w:pPr>
        <w:tabs>
          <w:tab w:val="left" w:pos="567"/>
        </w:tabs>
        <w:jc w:val="both"/>
        <w:rPr>
          <w:rFonts w:ascii="Times New Roman" w:eastAsia="Times New Roman" w:hAnsi="Times New Roman" w:cs="Times New Roman"/>
        </w:rPr>
      </w:pPr>
    </w:p>
    <w:tbl>
      <w:tblPr>
        <w:tblStyle w:val="a0"/>
        <w:tblW w:w="9296" w:type="dxa"/>
        <w:tblBorders>
          <w:top w:val="single" w:sz="8" w:space="0" w:color="000000"/>
          <w:bottom w:val="single" w:sz="8" w:space="0" w:color="000000"/>
        </w:tblBorders>
        <w:tblLayout w:type="fixed"/>
        <w:tblLook w:val="0400" w:firstRow="0" w:lastRow="0" w:firstColumn="0" w:lastColumn="0" w:noHBand="0" w:noVBand="1"/>
      </w:tblPr>
      <w:tblGrid>
        <w:gridCol w:w="4648"/>
        <w:gridCol w:w="4648"/>
      </w:tblGrid>
      <w:tr w:rsidR="00EA1543" w14:paraId="7AC13D3B" w14:textId="77777777">
        <w:trPr>
          <w:trHeight w:val="432"/>
        </w:trPr>
        <w:tc>
          <w:tcPr>
            <w:tcW w:w="4648" w:type="dxa"/>
            <w:tcBorders>
              <w:bottom w:val="single" w:sz="4" w:space="0" w:color="000000"/>
            </w:tcBorders>
            <w:shd w:val="clear" w:color="auto" w:fill="auto"/>
            <w:vAlign w:val="center"/>
          </w:tcPr>
          <w:p w14:paraId="7AC13D39" w14:textId="77777777" w:rsidR="00EA1543" w:rsidRDefault="00ED5B14">
            <w:pPr>
              <w:jc w:val="center"/>
              <w:rPr>
                <w:rFonts w:ascii="Times New Roman" w:eastAsia="Times New Roman" w:hAnsi="Times New Roman" w:cs="Times New Roman"/>
                <w:b/>
              </w:rPr>
            </w:pPr>
            <w:r>
              <w:rPr>
                <w:rFonts w:ascii="Times New Roman" w:eastAsia="Times New Roman" w:hAnsi="Times New Roman" w:cs="Times New Roman"/>
              </w:rPr>
              <w:t>Data</w:t>
            </w:r>
          </w:p>
        </w:tc>
        <w:tc>
          <w:tcPr>
            <w:tcW w:w="4648" w:type="dxa"/>
            <w:tcBorders>
              <w:bottom w:val="single" w:sz="4" w:space="0" w:color="000000"/>
            </w:tcBorders>
            <w:shd w:val="clear" w:color="auto" w:fill="auto"/>
            <w:vAlign w:val="center"/>
          </w:tcPr>
          <w:p w14:paraId="7AC13D3A" w14:textId="77777777" w:rsidR="00EA1543" w:rsidRDefault="00ED5B14">
            <w:pPr>
              <w:jc w:val="center"/>
              <w:rPr>
                <w:rFonts w:ascii="Times New Roman" w:eastAsia="Times New Roman" w:hAnsi="Times New Roman" w:cs="Times New Roman"/>
                <w:b/>
              </w:rPr>
            </w:pPr>
            <w:r>
              <w:rPr>
                <w:rFonts w:ascii="Times New Roman" w:eastAsia="Times New Roman" w:hAnsi="Times New Roman" w:cs="Times New Roman"/>
              </w:rPr>
              <w:t>BTES</w:t>
            </w:r>
          </w:p>
        </w:tc>
      </w:tr>
      <w:tr w:rsidR="00EA1543" w14:paraId="7AC13D3E" w14:textId="77777777">
        <w:trPr>
          <w:trHeight w:val="127"/>
        </w:trPr>
        <w:tc>
          <w:tcPr>
            <w:tcW w:w="4648" w:type="dxa"/>
            <w:tcMar>
              <w:top w:w="0" w:type="dxa"/>
              <w:left w:w="0" w:type="dxa"/>
              <w:bottom w:w="0" w:type="dxa"/>
              <w:right w:w="0" w:type="dxa"/>
            </w:tcMar>
            <w:vAlign w:val="center"/>
          </w:tcPr>
          <w:p w14:paraId="7AC13D3C" w14:textId="77777777" w:rsidR="00EA1543" w:rsidRDefault="00ED5B14" w:rsidP="009B7AC4">
            <w:pPr>
              <w:widowControl w:val="0"/>
              <w:spacing w:line="222" w:lineRule="auto"/>
              <w:jc w:val="center"/>
              <w:rPr>
                <w:rFonts w:ascii="Times New Roman" w:eastAsia="Times New Roman" w:hAnsi="Times New Roman" w:cs="Times New Roman"/>
              </w:rPr>
            </w:pPr>
            <w:r>
              <w:rPr>
                <w:rFonts w:ascii="Times New Roman" w:eastAsia="Times New Roman" w:hAnsi="Times New Roman" w:cs="Times New Roman"/>
              </w:rPr>
              <w:t>Length, I (120 cells), m</w:t>
            </w:r>
          </w:p>
        </w:tc>
        <w:tc>
          <w:tcPr>
            <w:tcW w:w="4648" w:type="dxa"/>
            <w:tcMar>
              <w:top w:w="80" w:type="dxa"/>
              <w:left w:w="140" w:type="dxa"/>
              <w:bottom w:w="80" w:type="dxa"/>
              <w:right w:w="140" w:type="dxa"/>
            </w:tcMar>
          </w:tcPr>
          <w:p w14:paraId="7AC13D3D" w14:textId="22C1FB74"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120</w:t>
            </w:r>
          </w:p>
        </w:tc>
      </w:tr>
      <w:tr w:rsidR="00EA1543" w14:paraId="7AC13D41" w14:textId="77777777">
        <w:trPr>
          <w:trHeight w:val="221"/>
        </w:trPr>
        <w:tc>
          <w:tcPr>
            <w:tcW w:w="4648" w:type="dxa"/>
            <w:tcMar>
              <w:top w:w="0" w:type="dxa"/>
              <w:left w:w="0" w:type="dxa"/>
              <w:bottom w:w="0" w:type="dxa"/>
              <w:right w:w="0" w:type="dxa"/>
            </w:tcMar>
            <w:vAlign w:val="center"/>
          </w:tcPr>
          <w:p w14:paraId="7AC13D3F" w14:textId="77777777" w:rsidR="00EA1543" w:rsidRDefault="00ED5B14" w:rsidP="009B7AC4">
            <w:pPr>
              <w:widowControl w:val="0"/>
              <w:spacing w:line="222" w:lineRule="auto"/>
              <w:jc w:val="center"/>
              <w:rPr>
                <w:rFonts w:ascii="Times New Roman" w:eastAsia="Times New Roman" w:hAnsi="Times New Roman" w:cs="Times New Roman"/>
              </w:rPr>
            </w:pPr>
            <w:r>
              <w:rPr>
                <w:rFonts w:ascii="Times New Roman" w:eastAsia="Times New Roman" w:hAnsi="Times New Roman" w:cs="Times New Roman"/>
              </w:rPr>
              <w:t>Width, J (120 cells), m</w:t>
            </w:r>
          </w:p>
        </w:tc>
        <w:tc>
          <w:tcPr>
            <w:tcW w:w="4648" w:type="dxa"/>
            <w:tcMar>
              <w:top w:w="80" w:type="dxa"/>
              <w:left w:w="140" w:type="dxa"/>
              <w:bottom w:w="80" w:type="dxa"/>
              <w:right w:w="140" w:type="dxa"/>
            </w:tcMar>
          </w:tcPr>
          <w:p w14:paraId="7AC13D40" w14:textId="06D8491E"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120</w:t>
            </w:r>
          </w:p>
        </w:tc>
      </w:tr>
      <w:tr w:rsidR="00EA1543" w14:paraId="7AC13D44" w14:textId="77777777">
        <w:trPr>
          <w:trHeight w:val="221"/>
        </w:trPr>
        <w:tc>
          <w:tcPr>
            <w:tcW w:w="4648" w:type="dxa"/>
            <w:tcMar>
              <w:top w:w="0" w:type="dxa"/>
              <w:left w:w="0" w:type="dxa"/>
              <w:bottom w:w="0" w:type="dxa"/>
              <w:right w:w="0" w:type="dxa"/>
            </w:tcMar>
            <w:vAlign w:val="center"/>
          </w:tcPr>
          <w:p w14:paraId="7AC13D42" w14:textId="77777777" w:rsidR="00EA1543" w:rsidRDefault="00ED5B14" w:rsidP="009B7AC4">
            <w:pPr>
              <w:widowControl w:val="0"/>
              <w:spacing w:line="222" w:lineRule="auto"/>
              <w:jc w:val="center"/>
              <w:rPr>
                <w:rFonts w:ascii="Times New Roman" w:eastAsia="Times New Roman" w:hAnsi="Times New Roman" w:cs="Times New Roman"/>
              </w:rPr>
            </w:pPr>
            <w:r>
              <w:rPr>
                <w:rFonts w:ascii="Times New Roman" w:eastAsia="Times New Roman" w:hAnsi="Times New Roman" w:cs="Times New Roman"/>
              </w:rPr>
              <w:t>Thickness, K (60 cells), m</w:t>
            </w:r>
          </w:p>
        </w:tc>
        <w:tc>
          <w:tcPr>
            <w:tcW w:w="4648" w:type="dxa"/>
            <w:tcMar>
              <w:top w:w="80" w:type="dxa"/>
              <w:left w:w="140" w:type="dxa"/>
              <w:bottom w:w="80" w:type="dxa"/>
              <w:right w:w="140" w:type="dxa"/>
            </w:tcMar>
          </w:tcPr>
          <w:p w14:paraId="7AC13D43" w14:textId="3279AB50"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60</w:t>
            </w:r>
          </w:p>
        </w:tc>
      </w:tr>
      <w:tr w:rsidR="00EA1543" w14:paraId="7AC13D47" w14:textId="77777777">
        <w:trPr>
          <w:trHeight w:val="221"/>
        </w:trPr>
        <w:tc>
          <w:tcPr>
            <w:tcW w:w="4648" w:type="dxa"/>
            <w:tcMar>
              <w:top w:w="0" w:type="dxa"/>
              <w:left w:w="0" w:type="dxa"/>
              <w:bottom w:w="0" w:type="dxa"/>
              <w:right w:w="0" w:type="dxa"/>
            </w:tcMar>
            <w:vAlign w:val="center"/>
          </w:tcPr>
          <w:p w14:paraId="7AC13D45" w14:textId="77777777" w:rsidR="00EA1543" w:rsidRDefault="00ED5B14" w:rsidP="009B7AC4">
            <w:pPr>
              <w:widowControl w:val="0"/>
              <w:spacing w:line="222" w:lineRule="auto"/>
              <w:jc w:val="center"/>
              <w:rPr>
                <w:rFonts w:ascii="Times New Roman" w:eastAsia="Times New Roman" w:hAnsi="Times New Roman" w:cs="Times New Roman"/>
              </w:rPr>
            </w:pPr>
            <w:r>
              <w:rPr>
                <w:rFonts w:ascii="Times New Roman" w:eastAsia="Times New Roman" w:hAnsi="Times New Roman" w:cs="Times New Roman"/>
              </w:rPr>
              <w:t>Porosity, %</w:t>
            </w:r>
          </w:p>
        </w:tc>
        <w:tc>
          <w:tcPr>
            <w:tcW w:w="4648" w:type="dxa"/>
            <w:tcMar>
              <w:top w:w="80" w:type="dxa"/>
              <w:left w:w="140" w:type="dxa"/>
              <w:bottom w:w="80" w:type="dxa"/>
              <w:right w:w="140" w:type="dxa"/>
            </w:tcMar>
          </w:tcPr>
          <w:p w14:paraId="7AC13D46"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15</w:t>
            </w:r>
          </w:p>
        </w:tc>
      </w:tr>
      <w:tr w:rsidR="00EA1543" w14:paraId="7AC13D4A" w14:textId="77777777">
        <w:trPr>
          <w:trHeight w:val="221"/>
        </w:trPr>
        <w:tc>
          <w:tcPr>
            <w:tcW w:w="4648" w:type="dxa"/>
            <w:tcMar>
              <w:top w:w="0" w:type="dxa"/>
              <w:left w:w="0" w:type="dxa"/>
              <w:bottom w:w="0" w:type="dxa"/>
              <w:right w:w="0" w:type="dxa"/>
            </w:tcMar>
            <w:vAlign w:val="center"/>
          </w:tcPr>
          <w:p w14:paraId="7AC13D48" w14:textId="77777777" w:rsidR="00EA1543" w:rsidRDefault="00ED5B14" w:rsidP="009B7AC4">
            <w:pPr>
              <w:widowControl w:val="0"/>
              <w:spacing w:line="222" w:lineRule="auto"/>
              <w:jc w:val="center"/>
              <w:rPr>
                <w:rFonts w:ascii="Times New Roman" w:eastAsia="Times New Roman" w:hAnsi="Times New Roman" w:cs="Times New Roman"/>
              </w:rPr>
            </w:pPr>
            <w:r>
              <w:rPr>
                <w:rFonts w:ascii="Times New Roman" w:eastAsia="Times New Roman" w:hAnsi="Times New Roman" w:cs="Times New Roman"/>
              </w:rPr>
              <w:t>Permeability, md</w:t>
            </w:r>
          </w:p>
        </w:tc>
        <w:tc>
          <w:tcPr>
            <w:tcW w:w="4648" w:type="dxa"/>
            <w:tcMar>
              <w:top w:w="80" w:type="dxa"/>
              <w:left w:w="140" w:type="dxa"/>
              <w:bottom w:w="80" w:type="dxa"/>
              <w:right w:w="140" w:type="dxa"/>
            </w:tcMar>
          </w:tcPr>
          <w:p w14:paraId="7AC13D49" w14:textId="00ADE45F"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25</w:t>
            </w:r>
          </w:p>
        </w:tc>
      </w:tr>
      <w:tr w:rsidR="00EA1543" w14:paraId="7AC13D4D" w14:textId="77777777">
        <w:trPr>
          <w:trHeight w:val="221"/>
        </w:trPr>
        <w:tc>
          <w:tcPr>
            <w:tcW w:w="4648" w:type="dxa"/>
            <w:tcMar>
              <w:top w:w="0" w:type="dxa"/>
              <w:left w:w="0" w:type="dxa"/>
              <w:bottom w:w="0" w:type="dxa"/>
              <w:right w:w="0" w:type="dxa"/>
            </w:tcMar>
            <w:vAlign w:val="center"/>
          </w:tcPr>
          <w:p w14:paraId="7AC13D4B" w14:textId="77777777" w:rsidR="00EA1543" w:rsidRDefault="00ED5B14" w:rsidP="009B7AC4">
            <w:pPr>
              <w:widowControl w:val="0"/>
              <w:spacing w:line="222" w:lineRule="auto"/>
              <w:jc w:val="center"/>
              <w:rPr>
                <w:rFonts w:ascii="Times New Roman" w:eastAsia="Times New Roman" w:hAnsi="Times New Roman" w:cs="Times New Roman"/>
              </w:rPr>
            </w:pPr>
            <w:r>
              <w:rPr>
                <w:rFonts w:ascii="Times New Roman" w:eastAsia="Times New Roman" w:hAnsi="Times New Roman" w:cs="Times New Roman"/>
              </w:rPr>
              <w:t>Undisturbed rock temperature, C</w:t>
            </w:r>
          </w:p>
        </w:tc>
        <w:tc>
          <w:tcPr>
            <w:tcW w:w="4648" w:type="dxa"/>
            <w:tcMar>
              <w:top w:w="80" w:type="dxa"/>
              <w:left w:w="140" w:type="dxa"/>
              <w:bottom w:w="80" w:type="dxa"/>
              <w:right w:w="140" w:type="dxa"/>
            </w:tcMar>
          </w:tcPr>
          <w:p w14:paraId="7AC13D4C"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8</w:t>
            </w:r>
          </w:p>
        </w:tc>
      </w:tr>
      <w:tr w:rsidR="00EA1543" w14:paraId="7AC13D50" w14:textId="77777777">
        <w:trPr>
          <w:trHeight w:val="221"/>
        </w:trPr>
        <w:tc>
          <w:tcPr>
            <w:tcW w:w="4648" w:type="dxa"/>
            <w:tcMar>
              <w:top w:w="80" w:type="dxa"/>
              <w:left w:w="140" w:type="dxa"/>
              <w:bottom w:w="80" w:type="dxa"/>
              <w:right w:w="140" w:type="dxa"/>
            </w:tcMar>
          </w:tcPr>
          <w:p w14:paraId="7AC13D4E"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No. of wells</w:t>
            </w:r>
          </w:p>
        </w:tc>
        <w:tc>
          <w:tcPr>
            <w:tcW w:w="4648" w:type="dxa"/>
            <w:tcMar>
              <w:top w:w="80" w:type="dxa"/>
              <w:left w:w="140" w:type="dxa"/>
              <w:bottom w:w="80" w:type="dxa"/>
              <w:right w:w="140" w:type="dxa"/>
            </w:tcMar>
          </w:tcPr>
          <w:p w14:paraId="7AC13D4F"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100</w:t>
            </w:r>
          </w:p>
        </w:tc>
      </w:tr>
      <w:tr w:rsidR="00EA1543" w14:paraId="7AC13D53" w14:textId="77777777">
        <w:trPr>
          <w:trHeight w:val="221"/>
        </w:trPr>
        <w:tc>
          <w:tcPr>
            <w:tcW w:w="4648" w:type="dxa"/>
            <w:tcMar>
              <w:top w:w="80" w:type="dxa"/>
              <w:left w:w="140" w:type="dxa"/>
              <w:bottom w:w="80" w:type="dxa"/>
              <w:right w:w="140" w:type="dxa"/>
            </w:tcMar>
          </w:tcPr>
          <w:p w14:paraId="7AC13D51"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Well length, m</w:t>
            </w:r>
          </w:p>
        </w:tc>
        <w:tc>
          <w:tcPr>
            <w:tcW w:w="4648" w:type="dxa"/>
            <w:tcMar>
              <w:top w:w="80" w:type="dxa"/>
              <w:left w:w="140" w:type="dxa"/>
              <w:bottom w:w="80" w:type="dxa"/>
              <w:right w:w="140" w:type="dxa"/>
            </w:tcMar>
          </w:tcPr>
          <w:p w14:paraId="7AC13D52"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50-55</w:t>
            </w:r>
          </w:p>
        </w:tc>
      </w:tr>
      <w:tr w:rsidR="00EA1543" w14:paraId="7AC13D56" w14:textId="77777777">
        <w:trPr>
          <w:trHeight w:val="221"/>
        </w:trPr>
        <w:tc>
          <w:tcPr>
            <w:tcW w:w="4648" w:type="dxa"/>
            <w:tcMar>
              <w:top w:w="80" w:type="dxa"/>
              <w:left w:w="140" w:type="dxa"/>
              <w:bottom w:w="80" w:type="dxa"/>
              <w:right w:w="140" w:type="dxa"/>
            </w:tcMar>
          </w:tcPr>
          <w:p w14:paraId="7AC13D54"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Distance between wells, m</w:t>
            </w:r>
          </w:p>
        </w:tc>
        <w:tc>
          <w:tcPr>
            <w:tcW w:w="4648" w:type="dxa"/>
            <w:tcMar>
              <w:top w:w="80" w:type="dxa"/>
              <w:left w:w="140" w:type="dxa"/>
              <w:bottom w:w="80" w:type="dxa"/>
              <w:right w:w="140" w:type="dxa"/>
            </w:tcMar>
          </w:tcPr>
          <w:p w14:paraId="7AC13D55"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4</w:t>
            </w:r>
          </w:p>
        </w:tc>
      </w:tr>
      <w:tr w:rsidR="00EA1543" w14:paraId="7AC13D59" w14:textId="77777777">
        <w:trPr>
          <w:trHeight w:val="221"/>
        </w:trPr>
        <w:tc>
          <w:tcPr>
            <w:tcW w:w="4648" w:type="dxa"/>
            <w:tcMar>
              <w:top w:w="80" w:type="dxa"/>
              <w:left w:w="140" w:type="dxa"/>
              <w:bottom w:w="80" w:type="dxa"/>
              <w:right w:w="140" w:type="dxa"/>
            </w:tcMar>
          </w:tcPr>
          <w:p w14:paraId="7AC13D57"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Flow rate, m</w:t>
            </w:r>
            <w:r>
              <w:rPr>
                <w:rFonts w:ascii="Times New Roman" w:eastAsia="Times New Roman" w:hAnsi="Times New Roman" w:cs="Times New Roman"/>
                <w:vertAlign w:val="superscript"/>
              </w:rPr>
              <w:t>3</w:t>
            </w:r>
            <w:r>
              <w:rPr>
                <w:rFonts w:ascii="Times New Roman" w:eastAsia="Times New Roman" w:hAnsi="Times New Roman" w:cs="Times New Roman"/>
              </w:rPr>
              <w:t>/hr</w:t>
            </w:r>
          </w:p>
        </w:tc>
        <w:tc>
          <w:tcPr>
            <w:tcW w:w="4648" w:type="dxa"/>
            <w:tcMar>
              <w:top w:w="80" w:type="dxa"/>
              <w:left w:w="140" w:type="dxa"/>
              <w:bottom w:w="80" w:type="dxa"/>
              <w:right w:w="140" w:type="dxa"/>
            </w:tcMar>
          </w:tcPr>
          <w:p w14:paraId="7AC13D58"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4.2</w:t>
            </w:r>
          </w:p>
        </w:tc>
      </w:tr>
      <w:tr w:rsidR="00EA1543" w14:paraId="7AC13D5C" w14:textId="77777777">
        <w:trPr>
          <w:trHeight w:val="221"/>
        </w:trPr>
        <w:tc>
          <w:tcPr>
            <w:tcW w:w="4648" w:type="dxa"/>
            <w:tcMar>
              <w:top w:w="80" w:type="dxa"/>
              <w:left w:w="140" w:type="dxa"/>
              <w:bottom w:w="80" w:type="dxa"/>
              <w:right w:w="140" w:type="dxa"/>
            </w:tcMar>
          </w:tcPr>
          <w:p w14:paraId="7AC13D5A"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Injection temperature (Charging), °C</w:t>
            </w:r>
          </w:p>
        </w:tc>
        <w:tc>
          <w:tcPr>
            <w:tcW w:w="4648" w:type="dxa"/>
            <w:tcMar>
              <w:top w:w="80" w:type="dxa"/>
              <w:left w:w="140" w:type="dxa"/>
              <w:bottom w:w="80" w:type="dxa"/>
              <w:right w:w="140" w:type="dxa"/>
            </w:tcMar>
          </w:tcPr>
          <w:p w14:paraId="7AC13D5B"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60</w:t>
            </w:r>
          </w:p>
        </w:tc>
      </w:tr>
      <w:tr w:rsidR="00EA1543" w14:paraId="7AC13D5F" w14:textId="77777777">
        <w:trPr>
          <w:trHeight w:val="221"/>
        </w:trPr>
        <w:tc>
          <w:tcPr>
            <w:tcW w:w="4648" w:type="dxa"/>
            <w:tcMar>
              <w:top w:w="80" w:type="dxa"/>
              <w:left w:w="140" w:type="dxa"/>
              <w:bottom w:w="80" w:type="dxa"/>
              <w:right w:w="140" w:type="dxa"/>
            </w:tcMar>
          </w:tcPr>
          <w:p w14:paraId="7AC13D5D"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Injection temperature (Discharging), °C</w:t>
            </w:r>
          </w:p>
        </w:tc>
        <w:tc>
          <w:tcPr>
            <w:tcW w:w="4648" w:type="dxa"/>
            <w:tcMar>
              <w:top w:w="80" w:type="dxa"/>
              <w:left w:w="140" w:type="dxa"/>
              <w:bottom w:w="80" w:type="dxa"/>
              <w:right w:w="140" w:type="dxa"/>
            </w:tcMar>
          </w:tcPr>
          <w:p w14:paraId="7AC13D5E"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25</w:t>
            </w:r>
          </w:p>
        </w:tc>
      </w:tr>
      <w:tr w:rsidR="00EA1543" w14:paraId="7AC13D62" w14:textId="77777777">
        <w:trPr>
          <w:trHeight w:val="221"/>
        </w:trPr>
        <w:tc>
          <w:tcPr>
            <w:tcW w:w="4648" w:type="dxa"/>
            <w:tcMar>
              <w:top w:w="80" w:type="dxa"/>
              <w:left w:w="140" w:type="dxa"/>
              <w:bottom w:w="80" w:type="dxa"/>
              <w:right w:w="140" w:type="dxa"/>
            </w:tcMar>
          </w:tcPr>
          <w:p w14:paraId="7AC13D60"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Rock thermal conductivity, W/mk</w:t>
            </w:r>
          </w:p>
        </w:tc>
        <w:tc>
          <w:tcPr>
            <w:tcW w:w="4648" w:type="dxa"/>
            <w:tcMar>
              <w:top w:w="80" w:type="dxa"/>
              <w:left w:w="140" w:type="dxa"/>
              <w:bottom w:w="80" w:type="dxa"/>
              <w:right w:w="140" w:type="dxa"/>
            </w:tcMar>
          </w:tcPr>
          <w:p w14:paraId="7AC13D61"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2.5</w:t>
            </w:r>
          </w:p>
        </w:tc>
      </w:tr>
      <w:tr w:rsidR="00EA1543" w14:paraId="7AC13D65" w14:textId="77777777">
        <w:trPr>
          <w:trHeight w:val="221"/>
        </w:trPr>
        <w:tc>
          <w:tcPr>
            <w:tcW w:w="4648" w:type="dxa"/>
            <w:tcMar>
              <w:top w:w="80" w:type="dxa"/>
              <w:left w:w="140" w:type="dxa"/>
              <w:bottom w:w="80" w:type="dxa"/>
              <w:right w:w="140" w:type="dxa"/>
            </w:tcMar>
          </w:tcPr>
          <w:p w14:paraId="7AC13D63"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Seasonal cycle, month</w:t>
            </w:r>
          </w:p>
        </w:tc>
        <w:tc>
          <w:tcPr>
            <w:tcW w:w="4648" w:type="dxa"/>
            <w:tcMar>
              <w:top w:w="80" w:type="dxa"/>
              <w:left w:w="140" w:type="dxa"/>
              <w:bottom w:w="80" w:type="dxa"/>
              <w:right w:w="140" w:type="dxa"/>
            </w:tcMar>
          </w:tcPr>
          <w:p w14:paraId="7AC13D64" w14:textId="77777777" w:rsidR="00EA1543" w:rsidRDefault="00ED5B14" w:rsidP="009B7AC4">
            <w:pPr>
              <w:widowControl w:val="0"/>
              <w:jc w:val="center"/>
              <w:rPr>
                <w:rFonts w:ascii="Times New Roman" w:eastAsia="Times New Roman" w:hAnsi="Times New Roman" w:cs="Times New Roman"/>
              </w:rPr>
            </w:pPr>
            <w:r>
              <w:rPr>
                <w:rFonts w:ascii="Times New Roman" w:eastAsia="Times New Roman" w:hAnsi="Times New Roman" w:cs="Times New Roman"/>
              </w:rPr>
              <w:t>6</w:t>
            </w:r>
          </w:p>
        </w:tc>
      </w:tr>
    </w:tbl>
    <w:p w14:paraId="7AC13D66" w14:textId="77777777" w:rsidR="00EA1543" w:rsidRDefault="00EA1543">
      <w:pPr>
        <w:spacing w:after="180"/>
        <w:jc w:val="both"/>
        <w:rPr>
          <w:rFonts w:ascii="Times New Roman" w:eastAsia="Times New Roman" w:hAnsi="Times New Roman" w:cs="Times New Roman"/>
        </w:rPr>
      </w:pPr>
    </w:p>
    <w:p w14:paraId="7AC13D67" w14:textId="77777777" w:rsidR="00EA1543" w:rsidRDefault="00ED5B14">
      <w:pPr>
        <w:spacing w:after="180"/>
        <w:jc w:val="both"/>
        <w:rPr>
          <w:rFonts w:ascii="Times New Roman" w:eastAsia="Times New Roman" w:hAnsi="Times New Roman" w:cs="Times New Roman"/>
          <w:i/>
        </w:rPr>
      </w:pPr>
      <w:r>
        <w:rPr>
          <w:rFonts w:ascii="Times New Roman" w:eastAsia="Times New Roman" w:hAnsi="Times New Roman" w:cs="Times New Roman"/>
          <w:i/>
        </w:rPr>
        <w:t>2.1 Heating load</w:t>
      </w:r>
    </w:p>
    <w:p w14:paraId="7AC13D68" w14:textId="77777777" w:rsidR="00EA1543" w:rsidRDefault="00ED5B14">
      <w:pPr>
        <w:spacing w:after="180"/>
        <w:jc w:val="both"/>
        <w:rPr>
          <w:rFonts w:ascii="Times New Roman" w:eastAsia="Times New Roman" w:hAnsi="Times New Roman" w:cs="Times New Roman"/>
        </w:rPr>
      </w:pPr>
      <w:r>
        <w:rPr>
          <w:rFonts w:ascii="Times New Roman" w:eastAsia="Times New Roman" w:hAnsi="Times New Roman" w:cs="Times New Roman"/>
        </w:rPr>
        <w:t>The seasonal BTES system studied is assumed to have a heating mode in the winter (discharge) and a charging mode in the summer. Charging and discharging loads in the simulations are simplified to a 6-month heating period in winter and a 6-month charging period in summer. A constant flow rate and injection temperature are used during summer and the same flow rate is used during winter for discharge. The extracted heat is assumed to directly heat the school by a 30°C water-based underfloor heating system. The maximum pumping rate is set to 4.2 m3/h with an injection temperature of 25°C. The undisturbed ground temperature is 8°C and the model was run for 10 years with 20 repeated cycles.</w:t>
      </w:r>
    </w:p>
    <w:p w14:paraId="7AC13D69" w14:textId="77777777" w:rsidR="00EA1543" w:rsidRDefault="00ED5B14">
      <w:pPr>
        <w:spacing w:after="180"/>
        <w:jc w:val="both"/>
        <w:rPr>
          <w:rFonts w:ascii="Times New Roman" w:eastAsia="Times New Roman" w:hAnsi="Times New Roman" w:cs="Times New Roman"/>
          <w:i/>
        </w:rPr>
      </w:pPr>
      <w:r>
        <w:rPr>
          <w:rFonts w:ascii="Times New Roman" w:eastAsia="Times New Roman" w:hAnsi="Times New Roman" w:cs="Times New Roman"/>
          <w:i/>
        </w:rPr>
        <w:t>2.2 Thermal efficiency.</w:t>
      </w:r>
    </w:p>
    <w:p w14:paraId="7AC13D6A" w14:textId="77777777" w:rsidR="00EA1543" w:rsidRDefault="00ED5B14">
      <w:pPr>
        <w:spacing w:after="180"/>
        <w:jc w:val="both"/>
        <w:rPr>
          <w:rFonts w:ascii="Times New Roman" w:eastAsia="Times New Roman" w:hAnsi="Times New Roman" w:cs="Times New Roman"/>
        </w:rPr>
      </w:pPr>
      <w:r>
        <w:rPr>
          <w:rFonts w:ascii="Times New Roman" w:eastAsia="Times New Roman" w:hAnsi="Times New Roman" w:cs="Times New Roman"/>
        </w:rPr>
        <w:t>From the model, the extracted energy (</w:t>
      </w: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ext</m:t>
            </m:r>
          </m:sub>
        </m:sSub>
      </m:oMath>
      <w:r>
        <w:rPr>
          <w:rFonts w:ascii="Times New Roman" w:eastAsia="Times New Roman" w:hAnsi="Times New Roman" w:cs="Times New Roman"/>
        </w:rPr>
        <w:t>) for each 6-month heating period during the lifetime of the system is determined following Eq1:</w:t>
      </w:r>
    </w:p>
    <w:p w14:paraId="7AC13D6B" w14:textId="3678D59B" w:rsidR="00EA1543" w:rsidRDefault="00AA6FF7">
      <w:pPr>
        <w:spacing w:after="180"/>
        <w:jc w:val="center"/>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ext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m:t>
            </m:r>
          </m:sub>
        </m:sSub>
        <m:r>
          <w:rPr>
            <w:rFonts w:ascii="Cambria Math" w:eastAsia="Cambria Math" w:hAnsi="Cambria Math" w:cs="Cambria Math"/>
          </w:rPr>
          <m:t xml:space="preserve"> q ρ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wh</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inj</m:t>
            </m:r>
          </m:sub>
        </m:sSub>
        <m:r>
          <w:rPr>
            <w:rFonts w:ascii="Cambria Math" w:eastAsia="Cambria Math" w:hAnsi="Cambria Math" w:cs="Cambria Math"/>
          </w:rPr>
          <m:t>)</m:t>
        </m:r>
      </m:oMath>
      <w:r w:rsidR="00ED5B14">
        <w:rPr>
          <w:rFonts w:ascii="Times New Roman" w:eastAsia="Times New Roman" w:hAnsi="Times New Roman" w:cs="Times New Roman"/>
        </w:rPr>
        <w:t xml:space="preserve"> n                             </w:t>
      </w:r>
      <w:proofErr w:type="gramStart"/>
      <w:r w:rsidR="00ED5B14">
        <w:rPr>
          <w:rFonts w:ascii="Times New Roman" w:eastAsia="Times New Roman" w:hAnsi="Times New Roman" w:cs="Times New Roman"/>
        </w:rPr>
        <w:t xml:space="preserve">   </w:t>
      </w:r>
      <w:r w:rsidR="00FE000A">
        <w:rPr>
          <w:rFonts w:ascii="Times New Roman" w:eastAsia="Times New Roman" w:hAnsi="Times New Roman" w:cs="Times New Roman"/>
        </w:rPr>
        <w:t>(</w:t>
      </w:r>
      <w:proofErr w:type="gramEnd"/>
      <w:r w:rsidR="00FE000A">
        <w:rPr>
          <w:rFonts w:ascii="Times New Roman" w:eastAsia="Times New Roman" w:hAnsi="Times New Roman" w:cs="Times New Roman"/>
        </w:rPr>
        <w:t>1)</w:t>
      </w:r>
    </w:p>
    <w:p w14:paraId="7AC13D6C" w14:textId="77777777" w:rsidR="00EA1543" w:rsidRDefault="00ED5B14">
      <w:pPr>
        <w:spacing w:after="180"/>
        <w:jc w:val="both"/>
        <w:rPr>
          <w:rFonts w:ascii="Times New Roman" w:eastAsia="Times New Roman" w:hAnsi="Times New Roman" w:cs="Times New Roman"/>
        </w:rPr>
      </w:pPr>
      <w:r>
        <w:rPr>
          <w:rFonts w:ascii="Times New Roman" w:eastAsia="Times New Roman" w:hAnsi="Times New Roman" w:cs="Times New Roman"/>
        </w:rPr>
        <w:t>Here, q is the total pumping rate, T</w:t>
      </w:r>
      <w:r>
        <w:rPr>
          <w:rFonts w:ascii="Times New Roman" w:eastAsia="Times New Roman" w:hAnsi="Times New Roman" w:cs="Times New Roman"/>
          <w:vertAlign w:val="subscript"/>
        </w:rPr>
        <w:t>wh</w:t>
      </w:r>
      <w:r>
        <w:rPr>
          <w:rFonts w:ascii="Times New Roman" w:eastAsia="Times New Roman" w:hAnsi="Times New Roman" w:cs="Times New Roman"/>
        </w:rPr>
        <w:t xml:space="preserve"> is the temperature of the water that is extracted from the production well at the wellhead, T</w:t>
      </w:r>
      <w:r>
        <w:rPr>
          <w:rFonts w:ascii="Times New Roman" w:eastAsia="Times New Roman" w:hAnsi="Times New Roman" w:cs="Times New Roman"/>
          <w:vertAlign w:val="subscript"/>
        </w:rPr>
        <w:t>inj</w:t>
      </w:r>
      <w:r>
        <w:rPr>
          <w:rFonts w:ascii="Times New Roman" w:eastAsia="Times New Roman" w:hAnsi="Times New Roman" w:cs="Times New Roman"/>
        </w:rPr>
        <w:t xml:space="preserve"> is the temperature of the water that is injected in the injection well and n is</w:t>
      </w:r>
      <w:r>
        <w:rPr>
          <w:rFonts w:ascii="Georgia" w:eastAsia="Georgia" w:hAnsi="Georgia" w:cs="Georgia"/>
          <w:color w:val="2E2E2E"/>
        </w:rPr>
        <w:t xml:space="preserve"> a time increment</w:t>
      </w:r>
      <w:r>
        <w:rPr>
          <w:rFonts w:ascii="Times New Roman" w:eastAsia="Times New Roman" w:hAnsi="Times New Roman" w:cs="Times New Roman"/>
        </w:rPr>
        <w:t>. The injected heat during summer (</w:t>
      </w: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inj</m:t>
            </m:r>
          </m:sub>
        </m:sSub>
      </m:oMath>
      <w:r>
        <w:rPr>
          <w:rFonts w:ascii="Times New Roman" w:eastAsia="Times New Roman" w:hAnsi="Times New Roman" w:cs="Times New Roman"/>
        </w:rPr>
        <w:t>) for each 6-month charging period during the lifetime of the system is determined following Eq2:</w:t>
      </w:r>
    </w:p>
    <w:p w14:paraId="7AC13D6D" w14:textId="77777777" w:rsidR="00EA1543" w:rsidRDefault="00EA1543">
      <w:pPr>
        <w:spacing w:after="180"/>
        <w:jc w:val="both"/>
        <w:rPr>
          <w:rFonts w:ascii="Times New Roman" w:eastAsia="Times New Roman" w:hAnsi="Times New Roman" w:cs="Times New Roman"/>
        </w:rPr>
      </w:pPr>
    </w:p>
    <w:p w14:paraId="7AC13D6E" w14:textId="7F219870" w:rsidR="00EA1543" w:rsidRDefault="00AA6FF7">
      <w:pPr>
        <w:spacing w:after="180"/>
        <w:jc w:val="center"/>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inj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m:t>
            </m:r>
          </m:sub>
        </m:sSub>
        <m:r>
          <w:rPr>
            <w:rFonts w:ascii="Cambria Math" w:eastAsia="Cambria Math" w:hAnsi="Cambria Math" w:cs="Cambria Math"/>
          </w:rPr>
          <m:t xml:space="preserve"> q ρ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inj</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 xml:space="preserve">in </m:t>
            </m:r>
          </m:sub>
        </m:sSub>
        <m:r>
          <w:rPr>
            <w:rFonts w:ascii="Cambria Math" w:eastAsia="Cambria Math" w:hAnsi="Cambria Math" w:cs="Cambria Math"/>
          </w:rPr>
          <m:t>)</m:t>
        </m:r>
      </m:oMath>
      <w:r w:rsidR="00ED5B14">
        <w:rPr>
          <w:rFonts w:ascii="Times New Roman" w:eastAsia="Times New Roman" w:hAnsi="Times New Roman" w:cs="Times New Roman"/>
        </w:rPr>
        <w:t xml:space="preserve"> n                             </w:t>
      </w:r>
      <w:proofErr w:type="gramStart"/>
      <w:r w:rsidR="00ED5B14">
        <w:rPr>
          <w:rFonts w:ascii="Times New Roman" w:eastAsia="Times New Roman" w:hAnsi="Times New Roman" w:cs="Times New Roman"/>
        </w:rPr>
        <w:t xml:space="preserve">   </w:t>
      </w:r>
      <w:r w:rsidR="00FE000A">
        <w:rPr>
          <w:rFonts w:ascii="Times New Roman" w:eastAsia="Times New Roman" w:hAnsi="Times New Roman" w:cs="Times New Roman"/>
        </w:rPr>
        <w:t>(</w:t>
      </w:r>
      <w:proofErr w:type="gramEnd"/>
      <w:r w:rsidR="00FE000A">
        <w:rPr>
          <w:rFonts w:ascii="Times New Roman" w:eastAsia="Times New Roman" w:hAnsi="Times New Roman" w:cs="Times New Roman"/>
        </w:rPr>
        <w:t>2)</w:t>
      </w:r>
    </w:p>
    <w:p w14:paraId="7AC13D6F" w14:textId="77777777" w:rsidR="00EA1543" w:rsidRDefault="00ED5B14">
      <w:pPr>
        <w:spacing w:after="180"/>
        <w:jc w:val="both"/>
        <w:rPr>
          <w:rFonts w:ascii="Times New Roman" w:eastAsia="Times New Roman" w:hAnsi="Times New Roman" w:cs="Times New Roman"/>
        </w:rPr>
      </w:pPr>
      <w:r>
        <w:rPr>
          <w:rFonts w:ascii="Times New Roman" w:eastAsia="Times New Roman" w:hAnsi="Times New Roman" w:cs="Times New Roman"/>
        </w:rPr>
        <w:t>Here, q is the total pumping rate, T</w:t>
      </w:r>
      <w:r>
        <w:rPr>
          <w:rFonts w:ascii="Times New Roman" w:eastAsia="Times New Roman" w:hAnsi="Times New Roman" w:cs="Times New Roman"/>
          <w:vertAlign w:val="subscript"/>
        </w:rPr>
        <w:t>inj</w:t>
      </w:r>
      <w:r>
        <w:rPr>
          <w:rFonts w:ascii="Times New Roman" w:eastAsia="Times New Roman" w:hAnsi="Times New Roman" w:cs="Times New Roman"/>
        </w:rPr>
        <w:t xml:space="preserve"> is the temperature of the water that is injected to the well at the wellhead, T</w:t>
      </w:r>
      <w:r>
        <w:rPr>
          <w:rFonts w:ascii="Times New Roman" w:eastAsia="Times New Roman" w:hAnsi="Times New Roman" w:cs="Times New Roman"/>
          <w:vertAlign w:val="subscript"/>
        </w:rPr>
        <w:t>in</w:t>
      </w:r>
      <w:r>
        <w:rPr>
          <w:rFonts w:ascii="Times New Roman" w:eastAsia="Times New Roman" w:hAnsi="Times New Roman" w:cs="Times New Roman"/>
        </w:rPr>
        <w:t xml:space="preserve"> is the temperature of the water that is fed to the heat exchanger. The thermal heat recovery efficiency (η</w:t>
      </w:r>
      <w:r>
        <w:rPr>
          <w:rFonts w:ascii="Times New Roman" w:eastAsia="Times New Roman" w:hAnsi="Times New Roman" w:cs="Times New Roman"/>
          <w:vertAlign w:val="subscript"/>
        </w:rPr>
        <w:t>th</w:t>
      </w:r>
      <w:r>
        <w:rPr>
          <w:rFonts w:ascii="Times New Roman" w:eastAsia="Times New Roman" w:hAnsi="Times New Roman" w:cs="Times New Roman"/>
        </w:rPr>
        <w:t>) is defined by dividing the extracted energy by the energy that is loaded to ATES.</w:t>
      </w:r>
    </w:p>
    <w:p w14:paraId="7AC13D70" w14:textId="68A7ACCC" w:rsidR="00EA1543" w:rsidRDefault="00AA6FF7">
      <w:pPr>
        <w:spacing w:after="180"/>
        <w:jc w:val="center"/>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hAnsi="Cambria Math"/>
              </w:rPr>
              <m:t>η</m:t>
            </m:r>
          </m:e>
          <m:sub>
            <m:r>
              <w:rPr>
                <w:rFonts w:ascii="Cambria Math" w:eastAsia="Cambria Math" w:hAnsi="Cambria Math" w:cs="Cambria Math"/>
              </w:rPr>
              <m:t>th</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ext</m:t>
                </m:r>
              </m:sub>
            </m:sSub>
          </m:num>
          <m:den>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inj</m:t>
                </m:r>
              </m:sub>
            </m:sSub>
          </m:den>
        </m:f>
      </m:oMath>
      <w:r w:rsidR="00ED5B14">
        <w:rPr>
          <w:rFonts w:ascii="Times New Roman" w:eastAsia="Times New Roman" w:hAnsi="Times New Roman" w:cs="Times New Roman"/>
        </w:rPr>
        <w:t xml:space="preserve">                                                                </w:t>
      </w:r>
      <w:r w:rsidR="00FE000A">
        <w:rPr>
          <w:rFonts w:ascii="Times New Roman" w:eastAsia="Times New Roman" w:hAnsi="Times New Roman" w:cs="Times New Roman"/>
        </w:rPr>
        <w:t>(3)</w:t>
      </w:r>
    </w:p>
    <w:p w14:paraId="7AC13D71" w14:textId="77777777" w:rsidR="00EA1543" w:rsidRDefault="00ED5B14">
      <w:pPr>
        <w:spacing w:after="180"/>
        <w:jc w:val="both"/>
        <w:rPr>
          <w:rFonts w:ascii="Times New Roman" w:eastAsia="Times New Roman" w:hAnsi="Times New Roman" w:cs="Times New Roman"/>
          <w:i/>
        </w:rPr>
      </w:pPr>
      <w:r>
        <w:rPr>
          <w:rFonts w:ascii="Times New Roman" w:eastAsia="Times New Roman" w:hAnsi="Times New Roman" w:cs="Times New Roman"/>
          <w:i/>
        </w:rPr>
        <w:t>2.2 Sensitivity Analysis and Optimization.</w:t>
      </w:r>
    </w:p>
    <w:p w14:paraId="7AC13D72" w14:textId="77777777" w:rsidR="00EA1543" w:rsidRDefault="00ED5B14">
      <w:pPr>
        <w:spacing w:after="180"/>
        <w:jc w:val="both"/>
        <w:rPr>
          <w:rFonts w:ascii="Times New Roman" w:eastAsia="Times New Roman" w:hAnsi="Times New Roman" w:cs="Times New Roman"/>
        </w:rPr>
      </w:pPr>
      <w:r>
        <w:rPr>
          <w:rFonts w:ascii="Times New Roman" w:eastAsia="Times New Roman" w:hAnsi="Times New Roman" w:cs="Times New Roman"/>
        </w:rPr>
        <w:t>The amount of energy that is provided by BTES varies with flow rates, ground temperature, and injected temperature. The effects of well depth on BTES thermal recovery efficiency were evaluated. Sensitivity analysis was extended to include well operation and control strategies. The injection temperature and cycle time were investigated to determine the optimum values that could result in better thermal recovery efficiency.</w:t>
      </w:r>
    </w:p>
    <w:p w14:paraId="33649482" w14:textId="77777777" w:rsidR="004C7312" w:rsidRDefault="004C7312">
      <w:pPr>
        <w:spacing w:after="180"/>
        <w:jc w:val="both"/>
        <w:rPr>
          <w:rFonts w:ascii="Times New Roman" w:eastAsia="Times New Roman" w:hAnsi="Times New Roman" w:cs="Times New Roman"/>
        </w:rPr>
      </w:pPr>
    </w:p>
    <w:p w14:paraId="7AC13D73" w14:textId="77777777" w:rsidR="00EA1543" w:rsidRDefault="00ED5B14">
      <w:pPr>
        <w:numPr>
          <w:ilvl w:val="0"/>
          <w:numId w:val="2"/>
        </w:numPr>
        <w:spacing w:before="240"/>
        <w:ind w:left="283" w:hanging="283"/>
        <w:rPr>
          <w:rFonts w:ascii="Times New Roman" w:eastAsia="Times New Roman" w:hAnsi="Times New Roman" w:cs="Times New Roman"/>
          <w:b/>
        </w:rPr>
      </w:pPr>
      <w:r>
        <w:rPr>
          <w:rFonts w:ascii="Times New Roman" w:eastAsia="Times New Roman" w:hAnsi="Times New Roman" w:cs="Times New Roman"/>
          <w:b/>
        </w:rPr>
        <w:t>Results and Discussions</w:t>
      </w:r>
    </w:p>
    <w:p w14:paraId="7AC13D74" w14:textId="77777777" w:rsidR="00EA1543" w:rsidRDefault="00ED5B14">
      <w:pPr>
        <w:spacing w:after="180"/>
        <w:jc w:val="both"/>
        <w:rPr>
          <w:rFonts w:ascii="Times New Roman" w:eastAsia="Times New Roman" w:hAnsi="Times New Roman" w:cs="Times New Roman"/>
          <w:b/>
        </w:rPr>
      </w:pPr>
      <w:r>
        <w:rPr>
          <w:rFonts w:ascii="Times New Roman" w:eastAsia="Times New Roman" w:hAnsi="Times New Roman" w:cs="Times New Roman"/>
        </w:rPr>
        <w:t>In the following section the results of the simulation study are presented and discussed.</w:t>
      </w:r>
    </w:p>
    <w:p w14:paraId="7AC13D75" w14:textId="77777777" w:rsidR="00EA1543" w:rsidRDefault="00ED5B14">
      <w:pPr>
        <w:pStyle w:val="Heading2"/>
        <w:rPr>
          <w:rFonts w:ascii="Times New Roman" w:eastAsia="Times New Roman" w:hAnsi="Times New Roman" w:cs="Times New Roman"/>
        </w:rPr>
      </w:pPr>
      <w:bookmarkStart w:id="0" w:name="_heading=h.amcm7yd52tbo" w:colFirst="0" w:colLast="0"/>
      <w:bookmarkEnd w:id="0"/>
      <w:r>
        <w:rPr>
          <w:rFonts w:ascii="Times New Roman" w:eastAsia="Times New Roman" w:hAnsi="Times New Roman" w:cs="Times New Roman"/>
        </w:rPr>
        <w:t>3.1 Model Validation</w:t>
      </w:r>
    </w:p>
    <w:p w14:paraId="7867464F" w14:textId="27F7E8C0" w:rsidR="00CD6397" w:rsidRDefault="00CD6397" w:rsidP="00CD6397">
      <w:pPr>
        <w:jc w:val="both"/>
      </w:pPr>
      <w:r>
        <w:t>To assess the validity of the model predictions, a history matching technique was employed, comparing the model outcomes with actual data obtained from the reference borehole field [10]. The validation procedure focused on a 2D cross-sectional representation of the BTES system, encompassing temperature distribution data from 11 wells equipped with temperature measurement sensors during the dynamic heat injection and extraction cycles.</w:t>
      </w:r>
      <w:r w:rsidR="00691EDE">
        <w:t xml:space="preserve"> </w:t>
      </w:r>
      <w:r>
        <w:t xml:space="preserve">As illustrated in Figure 5, the temporal evolution of thermal distributions within the BTES system is presented, covering a 6-month heat injection cycle followed by a 6-month heat extraction cycle. Figure 6 reveals insights into the predicted reservoir temperature during the charging phase. It's noteworthy that the model projected a reservoir temperature of 45°C during this period, closely aligning with the measured temperature obtained from fiber optic sensors, which recorded a temperature just below 43°C. The variance between the </w:t>
      </w:r>
      <w:r w:rsidR="00691EDE">
        <w:t>modelled</w:t>
      </w:r>
      <w:r>
        <w:t xml:space="preserve"> and actual temperature is less than 5%, well within an acceptable margin of error.</w:t>
      </w:r>
      <w:r w:rsidR="00691EDE">
        <w:t xml:space="preserve"> </w:t>
      </w:r>
      <w:r>
        <w:t>While the pursuit of a perfect match between model and experimental data remains a goal, it is essential to consider the practical complexities and underlying assumptions inherent in the model</w:t>
      </w:r>
      <w:r w:rsidR="00691EDE">
        <w:t xml:space="preserve"> such as variability in </w:t>
      </w:r>
      <w:r w:rsidR="00D739CE">
        <w:t xml:space="preserve">actual </w:t>
      </w:r>
      <w:r w:rsidR="00691EDE">
        <w:t xml:space="preserve">ground properties, </w:t>
      </w:r>
      <w:r w:rsidR="00D739CE">
        <w:t>changing dynamic behaviour of BTES system and the model assumptions</w:t>
      </w:r>
      <w:r>
        <w:t xml:space="preserve">. </w:t>
      </w:r>
      <w:r w:rsidR="00691EDE">
        <w:t>H</w:t>
      </w:r>
      <w:r>
        <w:t>owever, the existing level of error remains within an acceptable range.</w:t>
      </w:r>
      <w:r w:rsidR="00691EDE">
        <w:t xml:space="preserve"> </w:t>
      </w:r>
      <w:r>
        <w:t xml:space="preserve">The alignment between the model's predictions and the measured data underscores the model's reliability in accurately simulating the </w:t>
      </w:r>
      <w:r w:rsidR="00691EDE">
        <w:t>behaviour</w:t>
      </w:r>
      <w:r>
        <w:t xml:space="preserve"> of the BTES system, enhancing confidence in the results presented in the study</w:t>
      </w:r>
      <w:r w:rsidR="00691EDE">
        <w:t xml:space="preserve">. </w:t>
      </w:r>
    </w:p>
    <w:p w14:paraId="2452C887" w14:textId="77777777" w:rsidR="00CD6397" w:rsidRDefault="00CD6397">
      <w:pPr>
        <w:jc w:val="both"/>
      </w:pPr>
    </w:p>
    <w:p w14:paraId="7AC13D79" w14:textId="77777777" w:rsidR="00EA1543" w:rsidRDefault="00ED5B14" w:rsidP="00195C16">
      <w:pPr>
        <w:tabs>
          <w:tab w:val="left" w:pos="270"/>
        </w:tabs>
        <w:spacing w:after="180"/>
        <w:ind w:left="-764" w:right="-1098" w:hanging="496"/>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AC13DDC" wp14:editId="4838E50A">
            <wp:extent cx="5229336" cy="4003963"/>
            <wp:effectExtent l="0" t="0" r="0" b="0"/>
            <wp:docPr id="2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3"/>
                    <a:srcRect l="32078"/>
                    <a:stretch/>
                  </pic:blipFill>
                  <pic:spPr bwMode="auto">
                    <a:xfrm>
                      <a:off x="0" y="0"/>
                      <a:ext cx="5322961" cy="4075649"/>
                    </a:xfrm>
                    <a:prstGeom prst="rect">
                      <a:avLst/>
                    </a:prstGeom>
                    <a:ln>
                      <a:noFill/>
                    </a:ln>
                    <a:extLst>
                      <a:ext uri="{53640926-AAD7-44D8-BBD7-CCE9431645EC}">
                        <a14:shadowObscured xmlns:a14="http://schemas.microsoft.com/office/drawing/2010/main"/>
                      </a:ext>
                    </a:extLst>
                  </pic:spPr>
                </pic:pic>
              </a:graphicData>
            </a:graphic>
          </wp:inline>
        </w:drawing>
      </w:r>
    </w:p>
    <w:p w14:paraId="7AC13D7A" w14:textId="4631B9EA" w:rsidR="00EA1543" w:rsidRDefault="00ED5B14" w:rsidP="00ED5B14">
      <w:pPr>
        <w:spacing w:after="180"/>
        <w:ind w:left="-270"/>
        <w:jc w:val="center"/>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7AC13DDE" wp14:editId="7707F115">
            <wp:simplePos x="0" y="0"/>
            <wp:positionH relativeFrom="margin">
              <wp:posOffset>-530860</wp:posOffset>
            </wp:positionH>
            <wp:positionV relativeFrom="paragraph">
              <wp:posOffset>394335</wp:posOffset>
            </wp:positionV>
            <wp:extent cx="6652260" cy="2842260"/>
            <wp:effectExtent l="0" t="0" r="0" b="0"/>
            <wp:wrapTopAndBottom distT="0" distB="0"/>
            <wp:docPr id="2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6652260" cy="284226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rPr>
        <w:t>Figure 5.</w:t>
      </w:r>
      <w:r>
        <w:rPr>
          <w:rFonts w:ascii="Times New Roman" w:eastAsia="Times New Roman" w:hAnsi="Times New Roman" w:cs="Times New Roman"/>
        </w:rPr>
        <w:t xml:space="preserve"> Spatial temperature distribution across 11 borehole exchangers, (A) actual data and (B) CMG STARS model.</w:t>
      </w:r>
    </w:p>
    <w:p w14:paraId="7AC13D7B" w14:textId="7A0FAB76" w:rsidR="00EA1543" w:rsidRDefault="00ED5B14">
      <w:pPr>
        <w:spacing w:after="180"/>
        <w:jc w:val="center"/>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hidden="0" allowOverlap="1" wp14:anchorId="7AC13DE0" wp14:editId="06B8B9BA">
                <wp:simplePos x="0" y="0"/>
                <wp:positionH relativeFrom="column">
                  <wp:posOffset>2832100</wp:posOffset>
                </wp:positionH>
                <wp:positionV relativeFrom="paragraph">
                  <wp:posOffset>584200</wp:posOffset>
                </wp:positionV>
                <wp:extent cx="6350" cy="25400"/>
                <wp:effectExtent l="0" t="0" r="0" b="0"/>
                <wp:wrapNone/>
                <wp:docPr id="236" name=""/>
                <wp:cNvGraphicFramePr/>
                <a:graphic xmlns:a="http://schemas.openxmlformats.org/drawingml/2006/main">
                  <a:graphicData uri="http://schemas.microsoft.com/office/word/2010/wordprocessingShape">
                    <wps:wsp>
                      <wps:cNvCnPr/>
                      <wps:spPr>
                        <a:xfrm rot="10800000" flipH="1">
                          <a:off x="5044375" y="3776825"/>
                          <a:ext cx="603250" cy="6350"/>
                        </a:xfrm>
                        <a:prstGeom prst="straightConnector1">
                          <a:avLst/>
                        </a:prstGeom>
                        <a:noFill/>
                        <a:ln w="9525" cap="flat" cmpd="sng">
                          <a:solidFill>
                            <a:srgbClr val="FF0000"/>
                          </a:solidFill>
                          <a:prstDash val="solid"/>
                          <a:round/>
                          <a:headEnd type="triangle" w="med" len="med"/>
                          <a:tailEnd type="triangle" w="med" len="med"/>
                        </a:ln>
                      </wps:spPr>
                      <wps:bodyPr/>
                    </wps:wsp>
                  </a:graphicData>
                </a:graphic>
              </wp:anchor>
            </w:drawing>
          </mc:Choice>
          <mc:Fallback>
            <w:pict>
              <v:shapetype w14:anchorId="362E3E87" id="_x0000_t32" coordsize="21600,21600" o:spt="32" o:oned="t" path="m,l21600,21600e" filled="f">
                <v:path arrowok="t" fillok="f" o:connecttype="none"/>
                <o:lock v:ext="edit" shapetype="t"/>
              </v:shapetype>
              <v:shape id="Straight Arrow Connector 236" o:spid="_x0000_s1026" type="#_x0000_t32" style="position:absolute;margin-left:223pt;margin-top:46pt;width:.5pt;height:2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" strokecolor="red">
                <v:stroke startarrow="block" endarrow="block"/>
              </v:shape>
            </w:pict>
          </mc:Fallback>
        </mc:AlternateContent>
      </w:r>
      <w:r>
        <w:rPr>
          <w:noProof/>
        </w:rPr>
        <mc:AlternateContent>
          <mc:Choice Requires="wps">
            <w:drawing>
              <wp:anchor distT="0" distB="0" distL="114300" distR="114300" simplePos="0" relativeHeight="251660288" behindDoc="0" locked="0" layoutInCell="1" hidden="0" allowOverlap="1" wp14:anchorId="7AC13DE2" wp14:editId="77B9DB3A">
                <wp:simplePos x="0" y="0"/>
                <wp:positionH relativeFrom="column">
                  <wp:posOffset>3530600</wp:posOffset>
                </wp:positionH>
                <wp:positionV relativeFrom="paragraph">
                  <wp:posOffset>571500</wp:posOffset>
                </wp:positionV>
                <wp:extent cx="6350" cy="25400"/>
                <wp:effectExtent l="0" t="0" r="0" b="0"/>
                <wp:wrapNone/>
                <wp:docPr id="228" name=""/>
                <wp:cNvGraphicFramePr/>
                <a:graphic xmlns:a="http://schemas.openxmlformats.org/drawingml/2006/main">
                  <a:graphicData uri="http://schemas.microsoft.com/office/word/2010/wordprocessingShape">
                    <wps:wsp>
                      <wps:cNvCnPr/>
                      <wps:spPr>
                        <a:xfrm rot="10800000" flipH="1">
                          <a:off x="5044375" y="3776825"/>
                          <a:ext cx="603250" cy="6350"/>
                        </a:xfrm>
                        <a:prstGeom prst="straightConnector1">
                          <a:avLst/>
                        </a:prstGeom>
                        <a:noFill/>
                        <a:ln w="9525" cap="flat" cmpd="sng">
                          <a:solidFill>
                            <a:srgbClr val="FF0000"/>
                          </a:solidFill>
                          <a:prstDash val="solid"/>
                          <a:round/>
                          <a:headEnd type="triangle" w="med" len="med"/>
                          <a:tailEnd type="triangle" w="med" len="med"/>
                        </a:ln>
                      </wps:spPr>
                      <wps:bodyPr/>
                    </wps:wsp>
                  </a:graphicData>
                </a:graphic>
              </wp:anchor>
            </w:drawing>
          </mc:Choice>
          <mc:Fallback>
            <w:pict>
              <v:shape w14:anchorId="6DF35DB3" id="Straight Arrow Connector 228" o:spid="_x0000_s1026" type="#_x0000_t32" style="position:absolute;margin-left:278pt;margin-top:45pt;width:.5pt;height:2pt;rotation:18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" strokecolor="red">
                <v:stroke startarrow="block" endarrow="block"/>
              </v:shape>
            </w:pict>
          </mc:Fallback>
        </mc:AlternateContent>
      </w:r>
      <w:r>
        <w:rPr>
          <w:noProof/>
        </w:rPr>
        <mc:AlternateContent>
          <mc:Choice Requires="wps">
            <w:drawing>
              <wp:anchor distT="0" distB="0" distL="114300" distR="114300" simplePos="0" relativeHeight="251661312" behindDoc="0" locked="0" layoutInCell="1" hidden="0" allowOverlap="1" wp14:anchorId="7AC13DE4" wp14:editId="301C24ED">
                <wp:simplePos x="0" y="0"/>
                <wp:positionH relativeFrom="column">
                  <wp:posOffset>4140200</wp:posOffset>
                </wp:positionH>
                <wp:positionV relativeFrom="paragraph">
                  <wp:posOffset>88900</wp:posOffset>
                </wp:positionV>
                <wp:extent cx="28575" cy="1812925"/>
                <wp:effectExtent l="0" t="0" r="0" b="0"/>
                <wp:wrapNone/>
                <wp:docPr id="222" name=""/>
                <wp:cNvGraphicFramePr/>
                <a:graphic xmlns:a="http://schemas.openxmlformats.org/drawingml/2006/main">
                  <a:graphicData uri="http://schemas.microsoft.com/office/word/2010/wordprocessingShape">
                    <wps:wsp>
                      <wps:cNvCnPr/>
                      <wps:spPr>
                        <a:xfrm flipH="1">
                          <a:off x="5336475" y="2878300"/>
                          <a:ext cx="19050" cy="1803400"/>
                        </a:xfrm>
                        <a:prstGeom prst="straightConnector1">
                          <a:avLst/>
                        </a:prstGeom>
                        <a:noFill/>
                        <a:ln w="9525" cap="flat" cmpd="sng">
                          <a:solidFill>
                            <a:srgbClr val="D99593"/>
                          </a:solidFill>
                          <a:prstDash val="solid"/>
                          <a:round/>
                          <a:headEnd type="none" w="sm" len="sm"/>
                          <a:tailEnd type="none" w="sm" len="sm"/>
                        </a:ln>
                      </wps:spPr>
                      <wps:bodyPr/>
                    </wps:wsp>
                  </a:graphicData>
                </a:graphic>
              </wp:anchor>
            </w:drawing>
          </mc:Choice>
          <mc:Fallback>
            <w:pict>
              <v:shape w14:anchorId="59ED6517" id="Straight Arrow Connector 222" o:spid="_x0000_s1026" type="#_x0000_t32" style="position:absolute;margin-left:326pt;margin-top:7pt;width:2.25pt;height:142.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" strokecolor="#d99593">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2336" behindDoc="0" locked="0" layoutInCell="1" hidden="0" allowOverlap="1" wp14:anchorId="7AC13DE6" wp14:editId="42C15E75">
                <wp:simplePos x="0" y="0"/>
                <wp:positionH relativeFrom="column">
                  <wp:posOffset>2806700</wp:posOffset>
                </wp:positionH>
                <wp:positionV relativeFrom="paragraph">
                  <wp:posOffset>825500</wp:posOffset>
                </wp:positionV>
                <wp:extent cx="6350" cy="12700"/>
                <wp:effectExtent l="0" t="0" r="0" b="0"/>
                <wp:wrapNone/>
                <wp:docPr id="230" name=""/>
                <wp:cNvGraphicFramePr/>
                <a:graphic xmlns:a="http://schemas.openxmlformats.org/drawingml/2006/main">
                  <a:graphicData uri="http://schemas.microsoft.com/office/word/2010/wordprocessingShape">
                    <wps:wsp>
                      <wps:cNvCnPr/>
                      <wps:spPr>
                        <a:xfrm>
                          <a:off x="4060125" y="3776825"/>
                          <a:ext cx="2571750" cy="6350"/>
                        </a:xfrm>
                        <a:prstGeom prst="straightConnector1">
                          <a:avLst/>
                        </a:prstGeom>
                        <a:noFill/>
                        <a:ln w="9525" cap="flat" cmpd="sng">
                          <a:solidFill>
                            <a:schemeClr val="accent2"/>
                          </a:solidFill>
                          <a:prstDash val="dash"/>
                          <a:round/>
                          <a:headEnd type="none" w="sm" len="sm"/>
                          <a:tailEnd type="none" w="sm" len="sm"/>
                        </a:ln>
                      </wps:spPr>
                      <wps:bodyPr/>
                    </wps:wsp>
                  </a:graphicData>
                </a:graphic>
              </wp:anchor>
            </w:drawing>
          </mc:Choice>
          <mc:Fallback>
            <w:pict>
              <v:shape w14:anchorId="5C5DAEFE" id="Straight Arrow Connector 230" o:spid="_x0000_s1026" type="#_x0000_t32" style="position:absolute;margin-left:221pt;margin-top:65pt;width:.5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" strokecolor="#c0504d [3205]">
                <v:stroke dashstyle="dash" startarrowwidth="narrow" startarrowlength="short" endarrowwidth="narrow" endarrowlength="short"/>
              </v:shape>
            </w:pict>
          </mc:Fallback>
        </mc:AlternateContent>
      </w:r>
      <w:r>
        <w:rPr>
          <w:noProof/>
        </w:rPr>
        <mc:AlternateContent>
          <mc:Choice Requires="wps">
            <w:drawing>
              <wp:anchor distT="45720" distB="45720" distL="114300" distR="114300" simplePos="0" relativeHeight="251663360" behindDoc="0" locked="0" layoutInCell="1" hidden="0" allowOverlap="1" wp14:anchorId="7AC13DE8" wp14:editId="0F51777D">
                <wp:simplePos x="0" y="0"/>
                <wp:positionH relativeFrom="column">
                  <wp:posOffset>4254500</wp:posOffset>
                </wp:positionH>
                <wp:positionV relativeFrom="paragraph">
                  <wp:posOffset>579120</wp:posOffset>
                </wp:positionV>
                <wp:extent cx="1139825" cy="1414145"/>
                <wp:effectExtent l="0" t="0" r="0" b="0"/>
                <wp:wrapSquare wrapText="bothSides" distT="45720" distB="45720" distL="114300" distR="114300"/>
                <wp:docPr id="232" name=""/>
                <wp:cNvGraphicFramePr/>
                <a:graphic xmlns:a="http://schemas.openxmlformats.org/drawingml/2006/main">
                  <a:graphicData uri="http://schemas.microsoft.com/office/word/2010/wordprocessingShape">
                    <wps:wsp>
                      <wps:cNvSpPr/>
                      <wps:spPr>
                        <a:xfrm>
                          <a:off x="4780850" y="3077690"/>
                          <a:ext cx="1130300" cy="1404620"/>
                        </a:xfrm>
                        <a:prstGeom prst="rect">
                          <a:avLst/>
                        </a:prstGeom>
                        <a:solidFill>
                          <a:srgbClr val="FFFFFF">
                            <a:alpha val="0"/>
                          </a:srgbClr>
                        </a:solidFill>
                        <a:ln>
                          <a:noFill/>
                        </a:ln>
                      </wps:spPr>
                      <wps:txbx>
                        <w:txbxContent>
                          <w:p w14:paraId="7AC13E2F" w14:textId="77777777" w:rsidR="00EA1543" w:rsidRDefault="00ED5B14">
                            <w:pPr>
                              <w:textDirection w:val="btLr"/>
                            </w:pPr>
                            <w:r>
                              <w:rPr>
                                <w:color w:val="FF0000"/>
                                <w:sz w:val="20"/>
                              </w:rPr>
                              <w:t>Discharging Limit</w:t>
                            </w:r>
                          </w:p>
                        </w:txbxContent>
                      </wps:txbx>
                      <wps:bodyPr spcFirstLastPara="1" wrap="square" lIns="91425" tIns="45700" rIns="91425" bIns="45700" anchor="t" anchorCtr="0">
                        <a:noAutofit/>
                      </wps:bodyPr>
                    </wps:wsp>
                  </a:graphicData>
                </a:graphic>
              </wp:anchor>
            </w:drawing>
          </mc:Choice>
          <mc:Fallback>
            <w:pict>
              <v:rect w14:anchorId="7AC13DE8" id="_x0000_s1026" style="position:absolute;left:0;text-align:left;margin-left:335pt;margin-top:45.6pt;width:89.75pt;height:111.3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" stroked="f">
                <v:fill opacity="0"/>
                <v:textbox inset="2.53958mm,1.2694mm,2.53958mm,1.2694mm">
                  <w:txbxContent>
                    <w:p w14:paraId="7AC13E2F" w14:textId="77777777" w:rsidR="00EA1543" w:rsidRDefault="00ED5B14">
                      <w:pPr>
                        <w:textDirection w:val="btLr"/>
                      </w:pPr>
                      <w:r>
                        <w:rPr>
                          <w:color w:val="FF0000"/>
                          <w:sz w:val="20"/>
                        </w:rPr>
                        <w:t>Discharging Limit</w:t>
                      </w:r>
                    </w:p>
                  </w:txbxContent>
                </v:textbox>
                <w10:wrap type="square"/>
              </v:rect>
            </w:pict>
          </mc:Fallback>
        </mc:AlternateContent>
      </w:r>
      <w:r>
        <w:rPr>
          <w:noProof/>
        </w:rPr>
        <mc:AlternateContent>
          <mc:Choice Requires="wps">
            <w:drawing>
              <wp:anchor distT="45720" distB="45720" distL="114300" distR="114300" simplePos="0" relativeHeight="251664384" behindDoc="0" locked="0" layoutInCell="1" hidden="0" allowOverlap="1" wp14:anchorId="7AC13DEA" wp14:editId="4361A6BD">
                <wp:simplePos x="0" y="0"/>
                <wp:positionH relativeFrom="column">
                  <wp:posOffset>2730500</wp:posOffset>
                </wp:positionH>
                <wp:positionV relativeFrom="paragraph">
                  <wp:posOffset>350520</wp:posOffset>
                </wp:positionV>
                <wp:extent cx="720725" cy="295275"/>
                <wp:effectExtent l="0" t="0" r="0" b="0"/>
                <wp:wrapSquare wrapText="bothSides" distT="45720" distB="45720" distL="114300" distR="114300"/>
                <wp:docPr id="226" name=""/>
                <wp:cNvGraphicFramePr/>
                <a:graphic xmlns:a="http://schemas.openxmlformats.org/drawingml/2006/main">
                  <a:graphicData uri="http://schemas.microsoft.com/office/word/2010/wordprocessingShape">
                    <wps:wsp>
                      <wps:cNvSpPr/>
                      <wps:spPr>
                        <a:xfrm>
                          <a:off x="4990400" y="3637125"/>
                          <a:ext cx="711200" cy="285750"/>
                        </a:xfrm>
                        <a:prstGeom prst="rect">
                          <a:avLst/>
                        </a:prstGeom>
                        <a:solidFill>
                          <a:srgbClr val="FFFFFF">
                            <a:alpha val="0"/>
                          </a:srgbClr>
                        </a:solidFill>
                        <a:ln>
                          <a:noFill/>
                        </a:ln>
                      </wps:spPr>
                      <wps:txbx>
                        <w:txbxContent>
                          <w:p w14:paraId="7AC13E30" w14:textId="77777777" w:rsidR="00EA1543" w:rsidRDefault="00ED5B14">
                            <w:pPr>
                              <w:textDirection w:val="btLr"/>
                            </w:pPr>
                            <w:r>
                              <w:rPr>
                                <w:color w:val="FF0000"/>
                                <w:sz w:val="20"/>
                              </w:rPr>
                              <w:t>Charging</w:t>
                            </w:r>
                          </w:p>
                        </w:txbxContent>
                      </wps:txbx>
                      <wps:bodyPr spcFirstLastPara="1" wrap="square" lIns="91425" tIns="45700" rIns="91425" bIns="45700" anchor="t" anchorCtr="0">
                        <a:noAutofit/>
                      </wps:bodyPr>
                    </wps:wsp>
                  </a:graphicData>
                </a:graphic>
              </wp:anchor>
            </w:drawing>
          </mc:Choice>
          <mc:Fallback>
            <w:pict>
              <v:rect w14:anchorId="7AC13DEA" id="_x0000_s1027" style="position:absolute;left:0;text-align:left;margin-left:215pt;margin-top:27.6pt;width:56.75pt;height:23.2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" stroked="f">
                <v:fill opacity="0"/>
                <v:textbox inset="2.53958mm,1.2694mm,2.53958mm,1.2694mm">
                  <w:txbxContent>
                    <w:p w14:paraId="7AC13E30" w14:textId="77777777" w:rsidR="00EA1543" w:rsidRDefault="00ED5B14">
                      <w:pPr>
                        <w:textDirection w:val="btLr"/>
                      </w:pPr>
                      <w:r>
                        <w:rPr>
                          <w:color w:val="FF0000"/>
                          <w:sz w:val="20"/>
                        </w:rPr>
                        <w:t>Charging</w:t>
                      </w:r>
                    </w:p>
                  </w:txbxContent>
                </v:textbox>
                <w10:wrap type="square"/>
              </v:rect>
            </w:pict>
          </mc:Fallback>
        </mc:AlternateContent>
      </w:r>
      <w:r>
        <w:rPr>
          <w:noProof/>
        </w:rPr>
        <mc:AlternateContent>
          <mc:Choice Requires="wps">
            <w:drawing>
              <wp:anchor distT="45720" distB="45720" distL="114300" distR="114300" simplePos="0" relativeHeight="251665408" behindDoc="0" locked="0" layoutInCell="1" hidden="0" allowOverlap="1" wp14:anchorId="7AC13DEC" wp14:editId="14468092">
                <wp:simplePos x="0" y="0"/>
                <wp:positionH relativeFrom="column">
                  <wp:posOffset>3403600</wp:posOffset>
                </wp:positionH>
                <wp:positionV relativeFrom="paragraph">
                  <wp:posOffset>350520</wp:posOffset>
                </wp:positionV>
                <wp:extent cx="860425" cy="263525"/>
                <wp:effectExtent l="0" t="0" r="0" b="0"/>
                <wp:wrapSquare wrapText="bothSides" distT="45720" distB="45720" distL="114300" distR="114300"/>
                <wp:docPr id="237" name=""/>
                <wp:cNvGraphicFramePr/>
                <a:graphic xmlns:a="http://schemas.openxmlformats.org/drawingml/2006/main">
                  <a:graphicData uri="http://schemas.microsoft.com/office/word/2010/wordprocessingShape">
                    <wps:wsp>
                      <wps:cNvSpPr/>
                      <wps:spPr>
                        <a:xfrm>
                          <a:off x="4920550" y="3653000"/>
                          <a:ext cx="850900" cy="254000"/>
                        </a:xfrm>
                        <a:prstGeom prst="rect">
                          <a:avLst/>
                        </a:prstGeom>
                        <a:solidFill>
                          <a:srgbClr val="FFFFFF">
                            <a:alpha val="0"/>
                          </a:srgbClr>
                        </a:solidFill>
                        <a:ln>
                          <a:noFill/>
                        </a:ln>
                      </wps:spPr>
                      <wps:txbx>
                        <w:txbxContent>
                          <w:p w14:paraId="7AC13E31" w14:textId="77777777" w:rsidR="00EA1543" w:rsidRDefault="00ED5B14">
                            <w:pPr>
                              <w:textDirection w:val="btLr"/>
                            </w:pPr>
                            <w:r>
                              <w:rPr>
                                <w:color w:val="FF0000"/>
                                <w:sz w:val="20"/>
                              </w:rPr>
                              <w:t>Discharging/</w:t>
                            </w:r>
                          </w:p>
                        </w:txbxContent>
                      </wps:txbx>
                      <wps:bodyPr spcFirstLastPara="1" wrap="square" lIns="91425" tIns="45700" rIns="91425" bIns="45700" anchor="t" anchorCtr="0">
                        <a:noAutofit/>
                      </wps:bodyPr>
                    </wps:wsp>
                  </a:graphicData>
                </a:graphic>
              </wp:anchor>
            </w:drawing>
          </mc:Choice>
          <mc:Fallback>
            <w:pict>
              <v:rect w14:anchorId="7AC13DEC" id="_x0000_s1028" style="position:absolute;left:0;text-align:left;margin-left:268pt;margin-top:27.6pt;width:67.75pt;height:20.7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" stroked="f">
                <v:fill opacity="0"/>
                <v:textbox inset="2.53958mm,1.2694mm,2.53958mm,1.2694mm">
                  <w:txbxContent>
                    <w:p w14:paraId="7AC13E31" w14:textId="77777777" w:rsidR="00EA1543" w:rsidRDefault="00ED5B14">
                      <w:pPr>
                        <w:textDirection w:val="btLr"/>
                      </w:pPr>
                      <w:r>
                        <w:rPr>
                          <w:color w:val="FF0000"/>
                          <w:sz w:val="20"/>
                        </w:rPr>
                        <w:t>Discharging/</w:t>
                      </w:r>
                    </w:p>
                  </w:txbxContent>
                </v:textbox>
                <w10:wrap type="square"/>
              </v:rect>
            </w:pict>
          </mc:Fallback>
        </mc:AlternateContent>
      </w:r>
    </w:p>
    <w:p w14:paraId="7AC13D7C" w14:textId="77777777" w:rsidR="00EA1543" w:rsidRDefault="00ED5B14">
      <w:pPr>
        <w:spacing w:after="180"/>
        <w:jc w:val="center"/>
        <w:rPr>
          <w:rFonts w:ascii="Times New Roman" w:eastAsia="Times New Roman" w:hAnsi="Times New Roman" w:cs="Times New Roman"/>
        </w:rPr>
      </w:pPr>
      <w:r>
        <w:rPr>
          <w:rFonts w:ascii="Times New Roman" w:eastAsia="Times New Roman" w:hAnsi="Times New Roman" w:cs="Times New Roman"/>
          <w:b/>
        </w:rPr>
        <w:t>Figure 6.</w:t>
      </w:r>
      <w:r>
        <w:rPr>
          <w:rFonts w:ascii="Times New Roman" w:eastAsia="Times New Roman" w:hAnsi="Times New Roman" w:cs="Times New Roman"/>
        </w:rPr>
        <w:t xml:space="preserve"> Reservoir temperature profile during charging and discharging cycles.</w:t>
      </w:r>
    </w:p>
    <w:p w14:paraId="4957759F" w14:textId="77777777" w:rsidR="003F33EB" w:rsidRDefault="003F33EB">
      <w:pPr>
        <w:spacing w:after="180"/>
        <w:jc w:val="center"/>
        <w:rPr>
          <w:rFonts w:ascii="Times New Roman" w:eastAsia="Times New Roman" w:hAnsi="Times New Roman" w:cs="Times New Roman"/>
        </w:rPr>
      </w:pPr>
    </w:p>
    <w:p w14:paraId="7AC13D7D" w14:textId="77777777" w:rsidR="00EA1543" w:rsidRDefault="00ED5B14">
      <w:pPr>
        <w:pStyle w:val="Heading2"/>
        <w:rPr>
          <w:rFonts w:ascii="Times New Roman" w:eastAsia="Times New Roman" w:hAnsi="Times New Roman" w:cs="Times New Roman"/>
        </w:rPr>
      </w:pPr>
      <w:r>
        <w:rPr>
          <w:rFonts w:ascii="Times New Roman" w:eastAsia="Times New Roman" w:hAnsi="Times New Roman" w:cs="Times New Roman"/>
        </w:rPr>
        <w:lastRenderedPageBreak/>
        <w:t>3.2 Temperature Distribution and Heat Extraction Efficiency</w:t>
      </w:r>
    </w:p>
    <w:p w14:paraId="7AC13D7E" w14:textId="77777777" w:rsidR="00EA1543" w:rsidRDefault="00ED5B14">
      <w:pPr>
        <w:jc w:val="both"/>
        <w:rPr>
          <w:rFonts w:ascii="Times New Roman" w:eastAsia="Times New Roman" w:hAnsi="Times New Roman" w:cs="Times New Roman"/>
        </w:rPr>
      </w:pPr>
      <w:r>
        <w:rPr>
          <w:rFonts w:ascii="Times New Roman" w:eastAsia="Times New Roman" w:hAnsi="Times New Roman" w:cs="Times New Roman"/>
        </w:rPr>
        <w:t>The evolution of thermal storage plumes with time is shown in Figure 7 for the cross section of BTES. The predicted temperature distributions are shown for charging and discharging periods. The BTES region shows a trend of increasing temperature with time. The average temperature at the centre of BTES reaches a maximum temperature of about 45°C. Heat distribution during the first cycle of heat extraction (Figure 7, discharge t=6 months) shows that the temperature remains higher than the original reservoir temperature (8°C). That resulted in a low thermal recovery efficiency of only 30.9%. It could be explained by the fact that more than half of the heat injected is lost to heat up the rock matrix. As time passes, the heat loss to the rock reduces and the thermal efficiency increases to 35.3% after 5 years of operation (see Figure 8).</w:t>
      </w:r>
    </w:p>
    <w:p w14:paraId="7FECA8E0" w14:textId="77777777" w:rsidR="008B54EF" w:rsidRDefault="008B54EF">
      <w:pPr>
        <w:jc w:val="both"/>
        <w:rPr>
          <w:rFonts w:ascii="Times New Roman" w:eastAsia="Times New Roman" w:hAnsi="Times New Roman" w:cs="Times New Roman"/>
        </w:rPr>
      </w:pPr>
    </w:p>
    <w:p w14:paraId="645D60AB" w14:textId="77777777" w:rsidR="008B54EF" w:rsidRDefault="008B54EF">
      <w:pPr>
        <w:jc w:val="both"/>
        <w:rPr>
          <w:rFonts w:ascii="Times New Roman" w:eastAsia="Times New Roman" w:hAnsi="Times New Roman" w:cs="Times New Roman"/>
        </w:rPr>
      </w:pPr>
    </w:p>
    <w:tbl>
      <w:tblPr>
        <w:tblStyle w:val="TableGrid"/>
        <w:tblW w:w="112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4120"/>
        <w:gridCol w:w="3456"/>
      </w:tblGrid>
      <w:tr w:rsidR="008B54EF" w14:paraId="71B9CBFC" w14:textId="77777777" w:rsidTr="004F578B">
        <w:trPr>
          <w:jc w:val="center"/>
        </w:trPr>
        <w:tc>
          <w:tcPr>
            <w:tcW w:w="3780" w:type="dxa"/>
          </w:tcPr>
          <w:p w14:paraId="38877ACD" w14:textId="77777777" w:rsidR="008B54EF" w:rsidRDefault="008B54EF">
            <w:pPr>
              <w:jc w:val="both"/>
              <w:rPr>
                <w:rFonts w:ascii="Times New Roman" w:eastAsia="Times New Roman" w:hAnsi="Times New Roman" w:cs="Times New Roman"/>
              </w:rPr>
            </w:pPr>
          </w:p>
          <w:p w14:paraId="48F3E750" w14:textId="5292FDAF" w:rsidR="008B54EF" w:rsidRDefault="008B54EF">
            <w:pPr>
              <w:jc w:val="both"/>
              <w:rPr>
                <w:rFonts w:ascii="Times New Roman" w:eastAsia="Times New Roman" w:hAnsi="Times New Roman" w:cs="Times New Roman"/>
              </w:rPr>
            </w:pPr>
            <w:r>
              <w:rPr>
                <w:rFonts w:ascii="Times New Roman" w:eastAsia="Times New Roman" w:hAnsi="Times New Roman" w:cs="Times New Roman"/>
                <w:noProof/>
              </w:rPr>
              <w:drawing>
                <wp:inline distT="19050" distB="19050" distL="19050" distR="19050" wp14:anchorId="6C1B0301" wp14:editId="2D8174EF">
                  <wp:extent cx="2049780" cy="2164080"/>
                  <wp:effectExtent l="0" t="0" r="7620" b="7620"/>
                  <wp:docPr id="1" name="Picture 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049780" cy="2164080"/>
                          </a:xfrm>
                          <a:prstGeom prst="rect">
                            <a:avLst/>
                          </a:prstGeom>
                          <a:ln/>
                        </pic:spPr>
                      </pic:pic>
                    </a:graphicData>
                  </a:graphic>
                </wp:inline>
              </w:drawing>
            </w:r>
          </w:p>
          <w:p w14:paraId="52D6E5AE" w14:textId="77777777" w:rsidR="008B54EF" w:rsidRDefault="008B54EF">
            <w:pPr>
              <w:jc w:val="both"/>
              <w:rPr>
                <w:rFonts w:ascii="Times New Roman" w:eastAsia="Times New Roman" w:hAnsi="Times New Roman" w:cs="Times New Roman"/>
              </w:rPr>
            </w:pPr>
          </w:p>
          <w:p w14:paraId="5213ECB8" w14:textId="52D6D2FF" w:rsidR="008B54EF" w:rsidRDefault="008B54EF" w:rsidP="008B54EF">
            <w:pPr>
              <w:jc w:val="center"/>
              <w:rPr>
                <w:rFonts w:ascii="Times New Roman" w:eastAsia="Times New Roman" w:hAnsi="Times New Roman" w:cs="Times New Roman"/>
              </w:rPr>
            </w:pPr>
            <w:r>
              <w:rPr>
                <w:rFonts w:ascii="Times New Roman" w:eastAsia="Times New Roman" w:hAnsi="Times New Roman" w:cs="Times New Roman"/>
                <w:b/>
              </w:rPr>
              <w:t>Charging: t= 0</w:t>
            </w:r>
          </w:p>
        </w:tc>
        <w:tc>
          <w:tcPr>
            <w:tcW w:w="4180" w:type="dxa"/>
          </w:tcPr>
          <w:p w14:paraId="15CD28F9" w14:textId="77777777" w:rsidR="008B54EF" w:rsidRDefault="008B54EF">
            <w:pPr>
              <w:jc w:val="both"/>
              <w:rPr>
                <w:rFonts w:ascii="Times New Roman" w:eastAsia="Times New Roman" w:hAnsi="Times New Roman" w:cs="Times New Roman"/>
              </w:rPr>
            </w:pPr>
          </w:p>
          <w:p w14:paraId="598BF1E7" w14:textId="028EC8DF" w:rsidR="008B54EF" w:rsidRDefault="008B54EF">
            <w:pPr>
              <w:jc w:val="both"/>
              <w:rPr>
                <w:rFonts w:ascii="Times New Roman" w:eastAsia="Times New Roman" w:hAnsi="Times New Roman" w:cs="Times New Roman"/>
              </w:rPr>
            </w:pPr>
            <w:r>
              <w:rPr>
                <w:rFonts w:ascii="Calibri" w:eastAsia="Calibri" w:hAnsi="Calibri" w:cs="Calibri"/>
                <w:noProof/>
                <w:sz w:val="36"/>
                <w:szCs w:val="36"/>
              </w:rPr>
              <w:drawing>
                <wp:inline distT="19050" distB="19050" distL="19050" distR="19050" wp14:anchorId="3ABCC49D" wp14:editId="28C4E396">
                  <wp:extent cx="2400300" cy="2240280"/>
                  <wp:effectExtent l="0" t="0" r="0" b="7620"/>
                  <wp:docPr id="2" name="Picture 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400300" cy="2240280"/>
                          </a:xfrm>
                          <a:prstGeom prst="rect">
                            <a:avLst/>
                          </a:prstGeom>
                          <a:ln/>
                        </pic:spPr>
                      </pic:pic>
                    </a:graphicData>
                  </a:graphic>
                </wp:inline>
              </w:drawing>
            </w:r>
          </w:p>
          <w:p w14:paraId="6CC3363D" w14:textId="77777777" w:rsidR="008B54EF" w:rsidRDefault="008B54EF">
            <w:pPr>
              <w:jc w:val="both"/>
              <w:rPr>
                <w:rFonts w:ascii="Times New Roman" w:eastAsia="Times New Roman" w:hAnsi="Times New Roman" w:cs="Times New Roman"/>
              </w:rPr>
            </w:pPr>
          </w:p>
          <w:p w14:paraId="616D38A4" w14:textId="4AF5CD6E" w:rsidR="008B54EF" w:rsidRDefault="008B54EF" w:rsidP="008B54EF">
            <w:pPr>
              <w:jc w:val="center"/>
              <w:rPr>
                <w:rFonts w:ascii="Times New Roman" w:eastAsia="Times New Roman" w:hAnsi="Times New Roman" w:cs="Times New Roman"/>
              </w:rPr>
            </w:pPr>
            <w:r>
              <w:rPr>
                <w:rFonts w:ascii="Times New Roman" w:eastAsia="Times New Roman" w:hAnsi="Times New Roman" w:cs="Times New Roman"/>
                <w:b/>
              </w:rPr>
              <w:t>t= 4 months</w:t>
            </w:r>
          </w:p>
        </w:tc>
        <w:tc>
          <w:tcPr>
            <w:tcW w:w="3290" w:type="dxa"/>
          </w:tcPr>
          <w:p w14:paraId="7E1B17C0" w14:textId="77777777" w:rsidR="008B54EF" w:rsidRDefault="008B54EF">
            <w:pPr>
              <w:jc w:val="both"/>
              <w:rPr>
                <w:rFonts w:ascii="Times New Roman" w:eastAsia="Times New Roman" w:hAnsi="Times New Roman" w:cs="Times New Roman"/>
              </w:rPr>
            </w:pPr>
          </w:p>
          <w:p w14:paraId="5888A636" w14:textId="3FF10892" w:rsidR="008B54EF" w:rsidRDefault="008B54EF">
            <w:pPr>
              <w:jc w:val="both"/>
              <w:rPr>
                <w:rFonts w:ascii="Times New Roman" w:eastAsia="Times New Roman" w:hAnsi="Times New Roman" w:cs="Times New Roman"/>
              </w:rPr>
            </w:pPr>
            <w:r>
              <w:rPr>
                <w:rFonts w:ascii="Calibri" w:eastAsia="Calibri" w:hAnsi="Calibri" w:cs="Calibri"/>
                <w:noProof/>
                <w:sz w:val="36"/>
                <w:szCs w:val="36"/>
              </w:rPr>
              <w:drawing>
                <wp:inline distT="19050" distB="19050" distL="19050" distR="19050" wp14:anchorId="1CE2A355" wp14:editId="16B5DE3B">
                  <wp:extent cx="2049780" cy="2171700"/>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049780" cy="2171700"/>
                          </a:xfrm>
                          <a:prstGeom prst="rect">
                            <a:avLst/>
                          </a:prstGeom>
                          <a:ln/>
                        </pic:spPr>
                      </pic:pic>
                    </a:graphicData>
                  </a:graphic>
                </wp:inline>
              </w:drawing>
            </w:r>
          </w:p>
          <w:p w14:paraId="49365346" w14:textId="77777777" w:rsidR="008B54EF" w:rsidRDefault="008B54EF">
            <w:pPr>
              <w:jc w:val="both"/>
              <w:rPr>
                <w:rFonts w:ascii="Times New Roman" w:eastAsia="Times New Roman" w:hAnsi="Times New Roman" w:cs="Times New Roman"/>
              </w:rPr>
            </w:pPr>
          </w:p>
          <w:p w14:paraId="3622D7B3" w14:textId="2AF9C48B" w:rsidR="008B54EF" w:rsidRDefault="008B54EF" w:rsidP="008B54EF">
            <w:pPr>
              <w:jc w:val="center"/>
              <w:rPr>
                <w:rFonts w:ascii="Times New Roman" w:eastAsia="Times New Roman" w:hAnsi="Times New Roman" w:cs="Times New Roman"/>
              </w:rPr>
            </w:pPr>
            <w:r>
              <w:rPr>
                <w:rFonts w:ascii="Times New Roman" w:eastAsia="Times New Roman" w:hAnsi="Times New Roman" w:cs="Times New Roman"/>
                <w:b/>
              </w:rPr>
              <w:t>t= 6 months</w:t>
            </w:r>
          </w:p>
        </w:tc>
      </w:tr>
      <w:tr w:rsidR="008B54EF" w14:paraId="4E025C12" w14:textId="77777777" w:rsidTr="004F578B">
        <w:trPr>
          <w:jc w:val="center"/>
        </w:trPr>
        <w:tc>
          <w:tcPr>
            <w:tcW w:w="3780" w:type="dxa"/>
          </w:tcPr>
          <w:p w14:paraId="0AF8BC86" w14:textId="77777777" w:rsidR="008B54EF" w:rsidRDefault="008B54EF">
            <w:pPr>
              <w:jc w:val="both"/>
              <w:rPr>
                <w:rFonts w:ascii="Times New Roman" w:eastAsia="Times New Roman" w:hAnsi="Times New Roman" w:cs="Times New Roman"/>
              </w:rPr>
            </w:pPr>
          </w:p>
          <w:p w14:paraId="58A34A1D" w14:textId="79ED986D" w:rsidR="008B54EF" w:rsidRDefault="008B54EF">
            <w:pPr>
              <w:jc w:val="both"/>
              <w:rPr>
                <w:rFonts w:ascii="Times New Roman" w:eastAsia="Times New Roman" w:hAnsi="Times New Roman" w:cs="Times New Roman"/>
              </w:rPr>
            </w:pPr>
            <w:r>
              <w:rPr>
                <w:rFonts w:ascii="Calibri" w:eastAsia="Calibri" w:hAnsi="Calibri" w:cs="Calibri"/>
                <w:noProof/>
                <w:sz w:val="36"/>
                <w:szCs w:val="36"/>
              </w:rPr>
              <w:drawing>
                <wp:inline distT="19050" distB="19050" distL="19050" distR="19050" wp14:anchorId="2AFD8868" wp14:editId="712166BB">
                  <wp:extent cx="1767840" cy="2202180"/>
                  <wp:effectExtent l="0" t="0" r="3810" b="7620"/>
                  <wp:docPr id="4" name="Picture 4"/>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769607" cy="2204381"/>
                          </a:xfrm>
                          <a:prstGeom prst="rect">
                            <a:avLst/>
                          </a:prstGeom>
                          <a:ln/>
                        </pic:spPr>
                      </pic:pic>
                    </a:graphicData>
                  </a:graphic>
                </wp:inline>
              </w:drawing>
            </w:r>
          </w:p>
          <w:p w14:paraId="5D1E5032" w14:textId="77777777" w:rsidR="008B54EF" w:rsidRDefault="008B54EF">
            <w:pPr>
              <w:jc w:val="both"/>
              <w:rPr>
                <w:rFonts w:ascii="Times New Roman" w:eastAsia="Times New Roman" w:hAnsi="Times New Roman" w:cs="Times New Roman"/>
              </w:rPr>
            </w:pPr>
          </w:p>
          <w:p w14:paraId="7FD37A34" w14:textId="166958E8" w:rsidR="008B54EF" w:rsidRDefault="008B54EF" w:rsidP="008B54EF">
            <w:pPr>
              <w:jc w:val="center"/>
              <w:rPr>
                <w:rFonts w:ascii="Times New Roman" w:eastAsia="Times New Roman" w:hAnsi="Times New Roman" w:cs="Times New Roman"/>
              </w:rPr>
            </w:pPr>
            <w:r>
              <w:rPr>
                <w:rFonts w:ascii="Times New Roman" w:eastAsia="Times New Roman" w:hAnsi="Times New Roman" w:cs="Times New Roman"/>
                <w:b/>
              </w:rPr>
              <w:t>Charging: t= 0</w:t>
            </w:r>
          </w:p>
        </w:tc>
        <w:tc>
          <w:tcPr>
            <w:tcW w:w="4180" w:type="dxa"/>
          </w:tcPr>
          <w:p w14:paraId="3D2F2164" w14:textId="77777777" w:rsidR="008B54EF" w:rsidRDefault="008B54EF">
            <w:pPr>
              <w:jc w:val="both"/>
              <w:rPr>
                <w:rFonts w:ascii="Times New Roman" w:eastAsia="Times New Roman" w:hAnsi="Times New Roman" w:cs="Times New Roman"/>
              </w:rPr>
            </w:pPr>
          </w:p>
          <w:p w14:paraId="0A57AA0A" w14:textId="6CA67728" w:rsidR="008B54EF" w:rsidRDefault="008B54EF">
            <w:pPr>
              <w:jc w:val="both"/>
              <w:rPr>
                <w:rFonts w:ascii="Times New Roman" w:eastAsia="Times New Roman" w:hAnsi="Times New Roman" w:cs="Times New Roman"/>
              </w:rPr>
            </w:pPr>
            <w:r>
              <w:rPr>
                <w:rFonts w:ascii="Calibri" w:eastAsia="Calibri" w:hAnsi="Calibri" w:cs="Calibri"/>
                <w:noProof/>
                <w:sz w:val="36"/>
                <w:szCs w:val="36"/>
              </w:rPr>
              <w:drawing>
                <wp:inline distT="19050" distB="19050" distL="19050" distR="19050" wp14:anchorId="49361E9C" wp14:editId="1AA50E9A">
                  <wp:extent cx="2004060" cy="22479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2004544" cy="2248443"/>
                          </a:xfrm>
                          <a:prstGeom prst="rect">
                            <a:avLst/>
                          </a:prstGeom>
                          <a:ln/>
                        </pic:spPr>
                      </pic:pic>
                    </a:graphicData>
                  </a:graphic>
                </wp:inline>
              </w:drawing>
            </w:r>
          </w:p>
          <w:p w14:paraId="36D493D9" w14:textId="77777777" w:rsidR="008B54EF" w:rsidRDefault="008B54EF">
            <w:pPr>
              <w:jc w:val="both"/>
              <w:rPr>
                <w:rFonts w:ascii="Times New Roman" w:eastAsia="Times New Roman" w:hAnsi="Times New Roman" w:cs="Times New Roman"/>
              </w:rPr>
            </w:pPr>
          </w:p>
          <w:p w14:paraId="6F04203D" w14:textId="62846EB5" w:rsidR="008B54EF" w:rsidRDefault="008B54EF" w:rsidP="008B54EF">
            <w:pPr>
              <w:jc w:val="center"/>
              <w:rPr>
                <w:rFonts w:ascii="Times New Roman" w:eastAsia="Times New Roman" w:hAnsi="Times New Roman" w:cs="Times New Roman"/>
              </w:rPr>
            </w:pPr>
            <w:r>
              <w:rPr>
                <w:rFonts w:ascii="Times New Roman" w:eastAsia="Times New Roman" w:hAnsi="Times New Roman" w:cs="Times New Roman"/>
                <w:b/>
              </w:rPr>
              <w:t>t= 4 months</w:t>
            </w:r>
          </w:p>
        </w:tc>
        <w:tc>
          <w:tcPr>
            <w:tcW w:w="3290" w:type="dxa"/>
          </w:tcPr>
          <w:p w14:paraId="2F33067F" w14:textId="77777777" w:rsidR="008B54EF" w:rsidRDefault="008B54EF">
            <w:pPr>
              <w:jc w:val="both"/>
              <w:rPr>
                <w:rFonts w:ascii="Times New Roman" w:eastAsia="Times New Roman" w:hAnsi="Times New Roman" w:cs="Times New Roman"/>
              </w:rPr>
            </w:pPr>
          </w:p>
          <w:p w14:paraId="65E718C6" w14:textId="561501F0" w:rsidR="008B54EF" w:rsidRDefault="008B54EF" w:rsidP="008B54EF">
            <w:pPr>
              <w:ind w:left="336" w:hanging="336"/>
              <w:jc w:val="both"/>
              <w:rPr>
                <w:rFonts w:ascii="Times New Roman" w:eastAsia="Times New Roman" w:hAnsi="Times New Roman" w:cs="Times New Roman"/>
              </w:rPr>
            </w:pPr>
            <w:r>
              <w:rPr>
                <w:rFonts w:ascii="Calibri" w:eastAsia="Calibri" w:hAnsi="Calibri" w:cs="Calibri"/>
                <w:noProof/>
                <w:sz w:val="36"/>
                <w:szCs w:val="36"/>
              </w:rPr>
              <w:drawing>
                <wp:inline distT="19050" distB="19050" distL="19050" distR="19050" wp14:anchorId="7EF82555" wp14:editId="0EB40393">
                  <wp:extent cx="1897380" cy="2247900"/>
                  <wp:effectExtent l="0" t="0" r="7620" b="0"/>
                  <wp:docPr id="6" name="Picture 6"/>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1898946" cy="2249755"/>
                          </a:xfrm>
                          <a:prstGeom prst="rect">
                            <a:avLst/>
                          </a:prstGeom>
                          <a:ln/>
                        </pic:spPr>
                      </pic:pic>
                    </a:graphicData>
                  </a:graphic>
                </wp:inline>
              </w:drawing>
            </w:r>
          </w:p>
          <w:p w14:paraId="54BA6FBD" w14:textId="77777777" w:rsidR="008B54EF" w:rsidRDefault="008B54EF">
            <w:pPr>
              <w:jc w:val="both"/>
              <w:rPr>
                <w:rFonts w:ascii="Times New Roman" w:eastAsia="Times New Roman" w:hAnsi="Times New Roman" w:cs="Times New Roman"/>
              </w:rPr>
            </w:pPr>
          </w:p>
          <w:p w14:paraId="0C55AE0A" w14:textId="40CC978D" w:rsidR="008B54EF" w:rsidRDefault="008B54EF" w:rsidP="008B54EF">
            <w:pPr>
              <w:jc w:val="center"/>
              <w:rPr>
                <w:rFonts w:ascii="Times New Roman" w:eastAsia="Times New Roman" w:hAnsi="Times New Roman" w:cs="Times New Roman"/>
              </w:rPr>
            </w:pPr>
            <w:r>
              <w:rPr>
                <w:rFonts w:ascii="Times New Roman" w:eastAsia="Times New Roman" w:hAnsi="Times New Roman" w:cs="Times New Roman"/>
                <w:b/>
              </w:rPr>
              <w:t>t= 6 months</w:t>
            </w:r>
          </w:p>
        </w:tc>
      </w:tr>
      <w:tr w:rsidR="008B54EF" w14:paraId="18C4005B" w14:textId="77777777" w:rsidTr="004F578B">
        <w:trPr>
          <w:jc w:val="center"/>
        </w:trPr>
        <w:tc>
          <w:tcPr>
            <w:tcW w:w="11250" w:type="dxa"/>
            <w:gridSpan w:val="3"/>
          </w:tcPr>
          <w:p w14:paraId="728CA5DD" w14:textId="2E9D1E6B" w:rsidR="008B54EF" w:rsidRDefault="008B54EF" w:rsidP="00CA74A1">
            <w:pPr>
              <w:jc w:val="both"/>
              <w:rPr>
                <w:rFonts w:ascii="Times New Roman" w:eastAsia="Times New Roman" w:hAnsi="Times New Roman" w:cs="Times New Roman"/>
              </w:rPr>
            </w:pPr>
            <w:r>
              <w:rPr>
                <w:rFonts w:ascii="Times New Roman" w:eastAsia="Times New Roman" w:hAnsi="Times New Roman" w:cs="Times New Roman"/>
                <w:b/>
              </w:rPr>
              <w:t>Figure 7.</w:t>
            </w:r>
            <w:r>
              <w:rPr>
                <w:rFonts w:ascii="Times New Roman" w:eastAsia="Times New Roman" w:hAnsi="Times New Roman" w:cs="Times New Roman"/>
              </w:rPr>
              <w:t xml:space="preserve"> Simulated temperature distribution at lateral cross-section across 11 BHEs. Results are shown for the ends of the charging (0, 2, 4, 6 months) and discharging (0, 2, 4, 6 months) for the first year of operation.</w:t>
            </w:r>
          </w:p>
        </w:tc>
      </w:tr>
    </w:tbl>
    <w:p w14:paraId="0CDBD253" w14:textId="77777777" w:rsidR="008B54EF" w:rsidRDefault="008B54EF">
      <w:pPr>
        <w:jc w:val="both"/>
        <w:rPr>
          <w:rFonts w:ascii="Times New Roman" w:eastAsia="Times New Roman" w:hAnsi="Times New Roman" w:cs="Times New Roman"/>
        </w:rPr>
      </w:pPr>
    </w:p>
    <w:p w14:paraId="40ACF90E" w14:textId="77777777" w:rsidR="008B54EF" w:rsidRDefault="008B54EF">
      <w:pPr>
        <w:jc w:val="both"/>
        <w:rPr>
          <w:rFonts w:ascii="Times New Roman" w:eastAsia="Times New Roman" w:hAnsi="Times New Roman" w:cs="Times New Roman"/>
        </w:rPr>
      </w:pPr>
    </w:p>
    <w:p w14:paraId="69E40421" w14:textId="77777777" w:rsidR="008B54EF" w:rsidRDefault="008B54EF">
      <w:pPr>
        <w:jc w:val="both"/>
        <w:rPr>
          <w:rFonts w:ascii="Times New Roman" w:eastAsia="Times New Roman" w:hAnsi="Times New Roman" w:cs="Times New Roman"/>
        </w:rPr>
      </w:pPr>
    </w:p>
    <w:p w14:paraId="7AC13D85" w14:textId="77777777" w:rsidR="00EA1543" w:rsidRDefault="00ED5B14">
      <w:pPr>
        <w:spacing w:after="180"/>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CMG STARS BTES model is adopted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study the long-term effect (5 years) of a warm well’s thermal performance. Figure 7 shows the repeated cycles of charging and discharging, in which heat carrier flow rate is kept constant to 4.2 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/h. Two cases for the initial charging period were evaluated, 6 months (case-1) and 15 months (case-2), while the discharging periods were fixed to 6 months for both cases. The first thing to note in Figure 7 is that the average BTES temperature reaches a quasi-steady state behaviour after approximately 2 cycles with slightly higher temperature from year to year for </w:t>
      </w:r>
      <w:proofErr w:type="gramStart"/>
      <w:r>
        <w:rPr>
          <w:rFonts w:ascii="Times New Roman" w:eastAsia="Times New Roman" w:hAnsi="Times New Roman" w:cs="Times New Roman"/>
        </w:rPr>
        <w:t>case-2</w:t>
      </w:r>
      <w:proofErr w:type="gramEnd"/>
      <w:r>
        <w:rPr>
          <w:rFonts w:ascii="Times New Roman" w:eastAsia="Times New Roman" w:hAnsi="Times New Roman" w:cs="Times New Roman"/>
        </w:rPr>
        <w:t>. During the 1st cycle, the average BTES temperatures reach 45°C and 53°C for case-I and case-2, respectively. The temperature is observed to increase to around 50°C before declining to 47°C after 5 years for case-I. In Case-2, temperature almost levelled at 50°C for all the 5 years. However, in the winter, local temperatures almost levelled near the boreholes at 35°C for both cases, at the minimum temperature required for space heating.</w:t>
      </w:r>
    </w:p>
    <w:p w14:paraId="7AC13D87" w14:textId="77777777" w:rsidR="00EA1543" w:rsidRDefault="00ED5B14">
      <w:pPr>
        <w:spacing w:after="180"/>
        <w:jc w:val="both"/>
        <w:rPr>
          <w:rFonts w:ascii="Times New Roman" w:eastAsia="Times New Roman" w:hAnsi="Times New Roman" w:cs="Times New Roman"/>
        </w:rPr>
      </w:pPr>
      <w:r>
        <w:rPr>
          <w:noProof/>
        </w:rPr>
        <w:drawing>
          <wp:anchor distT="0" distB="0" distL="114300" distR="114300" simplePos="0" relativeHeight="251668480" behindDoc="0" locked="0" layoutInCell="1" hidden="0" allowOverlap="1" wp14:anchorId="7AC13E02" wp14:editId="6FBF27B2">
            <wp:simplePos x="0" y="0"/>
            <wp:positionH relativeFrom="column">
              <wp:posOffset>1272</wp:posOffset>
            </wp:positionH>
            <wp:positionV relativeFrom="paragraph">
              <wp:posOffset>-2539</wp:posOffset>
            </wp:positionV>
            <wp:extent cx="5861050" cy="2697943"/>
            <wp:effectExtent l="0" t="0" r="0" b="0"/>
            <wp:wrapTopAndBottom distT="0" distB="0"/>
            <wp:docPr id="2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861050" cy="2697943"/>
                    </a:xfrm>
                    <a:prstGeom prst="rect">
                      <a:avLst/>
                    </a:prstGeom>
                    <a:ln/>
                  </pic:spPr>
                </pic:pic>
              </a:graphicData>
            </a:graphic>
          </wp:anchor>
        </w:drawing>
      </w:r>
    </w:p>
    <w:p w14:paraId="7AC13D88" w14:textId="77777777" w:rsidR="00EA1543" w:rsidRDefault="00ED5B14">
      <w:pPr>
        <w:spacing w:after="180"/>
        <w:jc w:val="center"/>
        <w:rPr>
          <w:rFonts w:ascii="Times New Roman" w:eastAsia="Times New Roman" w:hAnsi="Times New Roman" w:cs="Times New Roman"/>
        </w:rPr>
      </w:pPr>
      <w:r>
        <w:rPr>
          <w:rFonts w:ascii="Times New Roman" w:eastAsia="Times New Roman" w:hAnsi="Times New Roman" w:cs="Times New Roman"/>
          <w:b/>
        </w:rPr>
        <w:t>Figure 8.</w:t>
      </w:r>
      <w:r>
        <w:rPr>
          <w:rFonts w:ascii="Times New Roman" w:eastAsia="Times New Roman" w:hAnsi="Times New Roman" w:cs="Times New Roman"/>
        </w:rPr>
        <w:t xml:space="preserve"> BTES temperatures for studied cases during charging and discharging over 5 years. Note: 6-month and 15-month charging for the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cycle are used, the following cycles fixed to 6-month for charging and discharging.</w:t>
      </w:r>
    </w:p>
    <w:p w14:paraId="7AC13D89" w14:textId="77777777" w:rsidR="00EA1543" w:rsidRDefault="00EA1543">
      <w:pPr>
        <w:spacing w:after="180"/>
        <w:jc w:val="both"/>
        <w:rPr>
          <w:rFonts w:ascii="Times New Roman" w:eastAsia="Times New Roman" w:hAnsi="Times New Roman" w:cs="Times New Roman"/>
        </w:rPr>
      </w:pPr>
    </w:p>
    <w:p w14:paraId="7AC13D8A" w14:textId="77777777" w:rsidR="00EA1543" w:rsidRDefault="00ED5B14">
      <w:pPr>
        <w:pStyle w:val="Heading2"/>
        <w:rPr>
          <w:rFonts w:ascii="Times New Roman" w:eastAsia="Times New Roman" w:hAnsi="Times New Roman" w:cs="Times New Roman"/>
        </w:rPr>
      </w:pPr>
      <w:bookmarkStart w:id="1" w:name="_heading=h.6u67rzxglrhq" w:colFirst="0" w:colLast="0"/>
      <w:bookmarkEnd w:id="1"/>
      <w:r>
        <w:rPr>
          <w:rFonts w:ascii="Times New Roman" w:eastAsia="Times New Roman" w:hAnsi="Times New Roman" w:cs="Times New Roman"/>
        </w:rPr>
        <w:t>3.3 Sensitivity Analysis</w:t>
      </w:r>
    </w:p>
    <w:p w14:paraId="7AC13D8B" w14:textId="77777777" w:rsidR="00EA1543" w:rsidRDefault="00ED5B14">
      <w:pPr>
        <w:spacing w:before="240"/>
      </w:pPr>
      <w:r>
        <w:rPr>
          <w:i/>
        </w:rPr>
        <w:t>3.3.1 Effect of heat carrier flow rate</w:t>
      </w:r>
    </w:p>
    <w:p w14:paraId="7AC13D8C" w14:textId="77777777" w:rsidR="00EA1543" w:rsidRDefault="00ED5B14">
      <w:pPr>
        <w:spacing w:after="180"/>
        <w:jc w:val="both"/>
        <w:rPr>
          <w:rFonts w:ascii="Times New Roman" w:eastAsia="Times New Roman" w:hAnsi="Times New Roman" w:cs="Times New Roman"/>
        </w:rPr>
      </w:pPr>
      <w:r>
        <w:rPr>
          <w:rFonts w:ascii="Times New Roman" w:eastAsia="Times New Roman" w:hAnsi="Times New Roman" w:cs="Times New Roman"/>
          <w:color w:val="232323"/>
          <w:highlight w:val="white"/>
        </w:rPr>
        <w:t xml:space="preserve"> </w:t>
      </w:r>
      <w:hyperlink r:id="rId22" w:anchor="f7">
        <w:r>
          <w:rPr>
            <w:rFonts w:ascii="Times New Roman" w:eastAsia="Times New Roman" w:hAnsi="Times New Roman" w:cs="Times New Roman"/>
            <w:highlight w:val="white"/>
          </w:rPr>
          <w:t xml:space="preserve">Figure </w:t>
        </w:r>
      </w:hyperlink>
      <w:r>
        <w:rPr>
          <w:rFonts w:ascii="Times New Roman" w:eastAsia="Times New Roman" w:hAnsi="Times New Roman" w:cs="Times New Roman"/>
          <w:highlight w:val="white"/>
        </w:rPr>
        <w:t>9 s</w:t>
      </w:r>
      <w:r>
        <w:rPr>
          <w:rFonts w:ascii="Times New Roman" w:eastAsia="Times New Roman" w:hAnsi="Times New Roman" w:cs="Times New Roman"/>
          <w:color w:val="232323"/>
          <w:highlight w:val="white"/>
        </w:rPr>
        <w:t xml:space="preserve">hows the effect of the flow rate on the average BTES temperature. </w:t>
      </w:r>
      <w:proofErr w:type="gramStart"/>
      <w:r>
        <w:rPr>
          <w:rFonts w:ascii="Times New Roman" w:eastAsia="Times New Roman" w:hAnsi="Times New Roman" w:cs="Times New Roman"/>
          <w:color w:val="232323"/>
          <w:highlight w:val="white"/>
        </w:rPr>
        <w:t>It is clear that as</w:t>
      </w:r>
      <w:proofErr w:type="gramEnd"/>
      <w:r>
        <w:rPr>
          <w:rFonts w:ascii="Times New Roman" w:eastAsia="Times New Roman" w:hAnsi="Times New Roman" w:cs="Times New Roman"/>
          <w:color w:val="232323"/>
          <w:highlight w:val="white"/>
        </w:rPr>
        <w:t xml:space="preserve"> the flow rate increases from 1.05 m3/h to 4.2 m3/h, the average BTES temperature increases. However, at a flow rate higher than 4.2 m3/s no increase in BTES temperature was observed. The corresponding</w:t>
      </w:r>
      <w:r>
        <w:rPr>
          <w:rFonts w:ascii="Times New Roman" w:eastAsia="Times New Roman" w:hAnsi="Times New Roman" w:cs="Times New Roman"/>
        </w:rPr>
        <w:t xml:space="preserve"> BTES efficiency is observed to increase with increasing the flow rate from 34 % and reached a plate of 36% at flow rate higher than 4.2 m3/h.</w:t>
      </w:r>
    </w:p>
    <w:p w14:paraId="7AC13D8D" w14:textId="77777777" w:rsidR="00EA1543" w:rsidRDefault="00EA1543">
      <w:pPr>
        <w:spacing w:after="180"/>
        <w:jc w:val="both"/>
        <w:rPr>
          <w:rFonts w:ascii="Times New Roman" w:eastAsia="Times New Roman" w:hAnsi="Times New Roman" w:cs="Times New Roman"/>
          <w:color w:val="232323"/>
          <w:highlight w:val="white"/>
        </w:rPr>
      </w:pPr>
    </w:p>
    <w:p w14:paraId="7AC13D8E" w14:textId="77777777" w:rsidR="00EA1543" w:rsidRDefault="00EA1543">
      <w:pPr>
        <w:spacing w:after="180"/>
        <w:jc w:val="both"/>
        <w:rPr>
          <w:rFonts w:ascii="Times New Roman" w:eastAsia="Times New Roman" w:hAnsi="Times New Roman" w:cs="Times New Roman"/>
          <w:color w:val="232323"/>
          <w:highlight w:val="white"/>
        </w:rPr>
      </w:pPr>
    </w:p>
    <w:p w14:paraId="7AC13D8F" w14:textId="77777777" w:rsidR="00EA1543" w:rsidRDefault="00ED5B14">
      <w:pPr>
        <w:spacing w:after="18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AC13E04" wp14:editId="7AC13E05">
            <wp:extent cx="5202214" cy="2558819"/>
            <wp:effectExtent l="0" t="0" r="0" b="0"/>
            <wp:docPr id="2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202214" cy="2558819"/>
                    </a:xfrm>
                    <a:prstGeom prst="rect">
                      <a:avLst/>
                    </a:prstGeom>
                    <a:ln/>
                  </pic:spPr>
                </pic:pic>
              </a:graphicData>
            </a:graphic>
          </wp:inline>
        </w:drawing>
      </w:r>
    </w:p>
    <w:p w14:paraId="7AC13D90" w14:textId="77777777" w:rsidR="00EA1543" w:rsidRDefault="00ED5B14">
      <w:pPr>
        <w:spacing w:after="180"/>
        <w:jc w:val="center"/>
        <w:rPr>
          <w:rFonts w:ascii="Times New Roman" w:eastAsia="Times New Roman" w:hAnsi="Times New Roman" w:cs="Times New Roman"/>
        </w:rPr>
      </w:pPr>
      <w:r>
        <w:rPr>
          <w:rFonts w:ascii="Times New Roman" w:eastAsia="Times New Roman" w:hAnsi="Times New Roman" w:cs="Times New Roman"/>
          <w:b/>
        </w:rPr>
        <w:t xml:space="preserve">Figure 9. </w:t>
      </w:r>
      <w:r>
        <w:rPr>
          <w:rFonts w:ascii="Times New Roman" w:eastAsia="Times New Roman" w:hAnsi="Times New Roman" w:cs="Times New Roman"/>
        </w:rPr>
        <w:t>Impact of increased flow rate on average BTES temperatures.</w:t>
      </w:r>
    </w:p>
    <w:p w14:paraId="7AC13D91" w14:textId="77777777" w:rsidR="00EA1543" w:rsidRDefault="00EA1543">
      <w:pPr>
        <w:spacing w:after="180"/>
        <w:jc w:val="both"/>
        <w:rPr>
          <w:rFonts w:ascii="Times New Roman" w:eastAsia="Times New Roman" w:hAnsi="Times New Roman" w:cs="Times New Roman"/>
        </w:rPr>
      </w:pPr>
    </w:p>
    <w:p w14:paraId="7AC13D92" w14:textId="77777777" w:rsidR="00EA1543" w:rsidRDefault="00ED5B14">
      <w:pPr>
        <w:jc w:val="center"/>
        <w:rPr>
          <w:rFonts w:ascii="Times New Roman" w:eastAsia="Times New Roman" w:hAnsi="Times New Roman" w:cs="Times New Roman"/>
        </w:rPr>
      </w:pPr>
      <w:r>
        <w:rPr>
          <w:rFonts w:ascii="Times New Roman" w:eastAsia="Times New Roman" w:hAnsi="Times New Roman" w:cs="Times New Roman"/>
          <w:noProof/>
        </w:rPr>
        <w:drawing>
          <wp:inline distT="19050" distB="19050" distL="19050" distR="19050" wp14:anchorId="7AC13E06" wp14:editId="7AC13E07">
            <wp:extent cx="5708650" cy="3098800"/>
            <wp:effectExtent l="0" t="0" r="0" b="0"/>
            <wp:docPr id="2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708650" cy="3098800"/>
                    </a:xfrm>
                    <a:prstGeom prst="rect">
                      <a:avLst/>
                    </a:prstGeom>
                    <a:ln/>
                  </pic:spPr>
                </pic:pic>
              </a:graphicData>
            </a:graphic>
          </wp:inline>
        </w:drawing>
      </w:r>
    </w:p>
    <w:p w14:paraId="7AC13D93" w14:textId="77777777" w:rsidR="00EA1543" w:rsidRDefault="00ED5B14">
      <w:pPr>
        <w:spacing w:after="180"/>
        <w:jc w:val="center"/>
        <w:rPr>
          <w:rFonts w:ascii="Times New Roman" w:eastAsia="Times New Roman" w:hAnsi="Times New Roman" w:cs="Times New Roman"/>
        </w:rPr>
      </w:pPr>
      <w:r>
        <w:rPr>
          <w:rFonts w:ascii="Times New Roman" w:eastAsia="Times New Roman" w:hAnsi="Times New Roman" w:cs="Times New Roman"/>
          <w:b/>
        </w:rPr>
        <w:t>Figure 10.</w:t>
      </w:r>
      <w:r>
        <w:rPr>
          <w:rFonts w:ascii="Times New Roman" w:eastAsia="Times New Roman" w:hAnsi="Times New Roman" w:cs="Times New Roman"/>
        </w:rPr>
        <w:t xml:space="preserve"> Impact of increased flow rate on average temperatures and efficiency of the BTES system.</w:t>
      </w:r>
    </w:p>
    <w:p w14:paraId="7AC13D94" w14:textId="77777777" w:rsidR="00EA1543" w:rsidRDefault="00EA1543">
      <w:pPr>
        <w:spacing w:after="180"/>
        <w:jc w:val="center"/>
        <w:rPr>
          <w:rFonts w:ascii="Times New Roman" w:eastAsia="Times New Roman" w:hAnsi="Times New Roman" w:cs="Times New Roman"/>
        </w:rPr>
      </w:pPr>
    </w:p>
    <w:p w14:paraId="7AC13D95" w14:textId="77777777" w:rsidR="00EA1543" w:rsidRDefault="00ED5B14">
      <w:pPr>
        <w:spacing w:before="240"/>
      </w:pPr>
      <w:r>
        <w:rPr>
          <w:i/>
        </w:rPr>
        <w:t>3.3.2 Effect of heat charging period</w:t>
      </w:r>
    </w:p>
    <w:p w14:paraId="7AC13D96" w14:textId="77777777" w:rsidR="00EA1543" w:rsidRDefault="00ED5B14">
      <w:pPr>
        <w:jc w:val="both"/>
        <w:rPr>
          <w:rFonts w:ascii="Times New Roman" w:eastAsia="Times New Roman" w:hAnsi="Times New Roman" w:cs="Times New Roman"/>
        </w:rPr>
      </w:pPr>
      <w:r>
        <w:rPr>
          <w:rFonts w:ascii="Times New Roman" w:eastAsia="Times New Roman" w:hAnsi="Times New Roman" w:cs="Times New Roman"/>
        </w:rPr>
        <w:t>In this section charging periods at constant injection temperature (60°C) were evaluated. As the charging period increased the BTES temperature increased and then almost levelled out at a longer charging time. Initially, BTES temperature increased by 12°C (from 33°C to 45°C) when the charging period was prolonged from 3 months to 6 months. However, only 4 to 3°C increments were observed when the charging period increased higher than 9 months. It's worth noting that at higher BTES temperature the discharging period takes longer before reaching the discharging temperature limit (i.e., 30°C).</w:t>
      </w:r>
    </w:p>
    <w:p w14:paraId="7AC13D97" w14:textId="77777777" w:rsidR="00EA1543" w:rsidRDefault="00EA1543">
      <w:pPr>
        <w:jc w:val="both"/>
        <w:rPr>
          <w:rFonts w:ascii="Times New Roman" w:eastAsia="Times New Roman" w:hAnsi="Times New Roman" w:cs="Times New Roman"/>
        </w:rPr>
      </w:pPr>
    </w:p>
    <w:p w14:paraId="7AC13D98" w14:textId="77777777" w:rsidR="00EA1543" w:rsidRDefault="00ED5B14">
      <w:pPr>
        <w:jc w:val="center"/>
        <w:rPr>
          <w:rFonts w:ascii="Times New Roman" w:eastAsia="Times New Roman" w:hAnsi="Times New Roman" w:cs="Times New Roman"/>
        </w:rPr>
      </w:pPr>
      <w:bookmarkStart w:id="2" w:name="_heading=h.gjdgxs" w:colFirst="0" w:colLast="0"/>
      <w:bookmarkEnd w:id="2"/>
      <w:r>
        <w:rPr>
          <w:rFonts w:ascii="Times New Roman" w:eastAsia="Times New Roman" w:hAnsi="Times New Roman" w:cs="Times New Roman"/>
          <w:b/>
        </w:rPr>
        <w:lastRenderedPageBreak/>
        <w:t xml:space="preserve">Figure 11. </w:t>
      </w:r>
      <w:r>
        <w:rPr>
          <w:rFonts w:ascii="Times New Roman" w:eastAsia="Times New Roman" w:hAnsi="Times New Roman" w:cs="Times New Roman"/>
        </w:rPr>
        <w:t>Impact of charging time on average BTES storage temperatures.</w:t>
      </w:r>
      <w:r>
        <w:rPr>
          <w:noProof/>
        </w:rPr>
        <w:drawing>
          <wp:anchor distT="0" distB="0" distL="114300" distR="114300" simplePos="0" relativeHeight="251669504" behindDoc="0" locked="0" layoutInCell="1" hidden="0" allowOverlap="1" wp14:anchorId="7AC13E08" wp14:editId="1362BC85">
            <wp:simplePos x="0" y="0"/>
            <wp:positionH relativeFrom="column">
              <wp:posOffset>19686</wp:posOffset>
            </wp:positionH>
            <wp:positionV relativeFrom="paragraph">
              <wp:posOffset>0</wp:posOffset>
            </wp:positionV>
            <wp:extent cx="5890953" cy="3011170"/>
            <wp:effectExtent l="0" t="0" r="0" b="0"/>
            <wp:wrapTopAndBottom distT="0" distB="0"/>
            <wp:docPr id="2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890953" cy="3011170"/>
                    </a:xfrm>
                    <a:prstGeom prst="rect">
                      <a:avLst/>
                    </a:prstGeom>
                    <a:ln/>
                  </pic:spPr>
                </pic:pic>
              </a:graphicData>
            </a:graphic>
          </wp:anchor>
        </w:drawing>
      </w:r>
      <w:r>
        <w:rPr>
          <w:noProof/>
        </w:rPr>
        <mc:AlternateContent>
          <mc:Choice Requires="wps">
            <w:drawing>
              <wp:anchor distT="0" distB="0" distL="114300" distR="114300" simplePos="0" relativeHeight="251670528" behindDoc="0" locked="0" layoutInCell="1" hidden="0" allowOverlap="1" wp14:anchorId="7AC13E0A" wp14:editId="4DE700AC">
                <wp:simplePos x="0" y="0"/>
                <wp:positionH relativeFrom="column">
                  <wp:posOffset>482600</wp:posOffset>
                </wp:positionH>
                <wp:positionV relativeFrom="paragraph">
                  <wp:posOffset>1536700</wp:posOffset>
                </wp:positionV>
                <wp:extent cx="0" cy="12700"/>
                <wp:effectExtent l="0" t="0" r="0" b="0"/>
                <wp:wrapNone/>
                <wp:docPr id="220" name=""/>
                <wp:cNvGraphicFramePr/>
                <a:graphic xmlns:a="http://schemas.openxmlformats.org/drawingml/2006/main">
                  <a:graphicData uri="http://schemas.microsoft.com/office/word/2010/wordprocessingShape">
                    <wps:wsp>
                      <wps:cNvCnPr/>
                      <wps:spPr>
                        <a:xfrm>
                          <a:off x="2806000" y="3780000"/>
                          <a:ext cx="5080000" cy="0"/>
                        </a:xfrm>
                        <a:prstGeom prst="straightConnector1">
                          <a:avLst/>
                        </a:prstGeom>
                        <a:noFill/>
                        <a:ln w="9525" cap="flat" cmpd="sng">
                          <a:solidFill>
                            <a:schemeClr val="accent2"/>
                          </a:solidFill>
                          <a:prstDash val="dash"/>
                          <a:round/>
                          <a:headEnd type="none" w="sm" len="sm"/>
                          <a:tailEnd type="none" w="sm" len="sm"/>
                        </a:ln>
                      </wps:spPr>
                      <wps:bodyPr/>
                    </wps:wsp>
                  </a:graphicData>
                </a:graphic>
              </wp:anchor>
            </w:drawing>
          </mc:Choice>
          <mc:Fallback>
            <w:pict>
              <v:shape w14:anchorId="7BBDFF9B" id="Straight Arrow Connector 220" o:spid="_x0000_s1026" type="#_x0000_t32" style="position:absolute;margin-left:38pt;margin-top:121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" strokecolor="#c0504d [3205]">
                <v:stroke dashstyle="dash" startarrowwidth="narrow" startarrowlength="short" endarrowwidth="narrow" endarrowlength="short"/>
              </v:shape>
            </w:pict>
          </mc:Fallback>
        </mc:AlternateContent>
      </w:r>
      <w:r>
        <w:rPr>
          <w:noProof/>
        </w:rPr>
        <mc:AlternateContent>
          <mc:Choice Requires="wps">
            <w:drawing>
              <wp:anchor distT="45720" distB="45720" distL="114300" distR="114300" simplePos="0" relativeHeight="251671552" behindDoc="0" locked="0" layoutInCell="1" hidden="0" allowOverlap="1" wp14:anchorId="7AC13E0C" wp14:editId="3211B5D4">
                <wp:simplePos x="0" y="0"/>
                <wp:positionH relativeFrom="column">
                  <wp:posOffset>406400</wp:posOffset>
                </wp:positionH>
                <wp:positionV relativeFrom="paragraph">
                  <wp:posOffset>1264920</wp:posOffset>
                </wp:positionV>
                <wp:extent cx="1139825" cy="1414145"/>
                <wp:effectExtent l="0" t="0" r="0" b="0"/>
                <wp:wrapSquare wrapText="bothSides" distT="45720" distB="45720" distL="114300" distR="114300"/>
                <wp:docPr id="239" name=""/>
                <wp:cNvGraphicFramePr/>
                <a:graphic xmlns:a="http://schemas.openxmlformats.org/drawingml/2006/main">
                  <a:graphicData uri="http://schemas.microsoft.com/office/word/2010/wordprocessingShape">
                    <wps:wsp>
                      <wps:cNvSpPr/>
                      <wps:spPr>
                        <a:xfrm>
                          <a:off x="4780850" y="3077690"/>
                          <a:ext cx="1130300" cy="1404620"/>
                        </a:xfrm>
                        <a:prstGeom prst="rect">
                          <a:avLst/>
                        </a:prstGeom>
                        <a:solidFill>
                          <a:srgbClr val="FFFFFF">
                            <a:alpha val="0"/>
                          </a:srgbClr>
                        </a:solidFill>
                        <a:ln>
                          <a:noFill/>
                        </a:ln>
                      </wps:spPr>
                      <wps:txbx>
                        <w:txbxContent>
                          <w:p w14:paraId="7AC13E34" w14:textId="77777777" w:rsidR="00EA1543" w:rsidRDefault="00ED5B14">
                            <w:pPr>
                              <w:textDirection w:val="btLr"/>
                            </w:pPr>
                            <w:r>
                              <w:rPr>
                                <w:color w:val="FF0000"/>
                                <w:sz w:val="20"/>
                              </w:rPr>
                              <w:t>Discharging Limit</w:t>
                            </w:r>
                          </w:p>
                        </w:txbxContent>
                      </wps:txbx>
                      <wps:bodyPr spcFirstLastPara="1" wrap="square" lIns="91425" tIns="45700" rIns="91425" bIns="45700" anchor="t" anchorCtr="0">
                        <a:noAutofit/>
                      </wps:bodyPr>
                    </wps:wsp>
                  </a:graphicData>
                </a:graphic>
              </wp:anchor>
            </w:drawing>
          </mc:Choice>
          <mc:Fallback>
            <w:pict>
              <v:rect w14:anchorId="7AC13E0C" id="_x0000_s1029" style="position:absolute;left:0;text-align:left;margin-left:32pt;margin-top:99.6pt;width:89.75pt;height:111.3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" stroked="f">
                <v:fill opacity="0"/>
                <v:textbox inset="2.53958mm,1.2694mm,2.53958mm,1.2694mm">
                  <w:txbxContent>
                    <w:p w14:paraId="7AC13E34" w14:textId="77777777" w:rsidR="00EA1543" w:rsidRDefault="00ED5B14">
                      <w:pPr>
                        <w:textDirection w:val="btLr"/>
                      </w:pPr>
                      <w:r>
                        <w:rPr>
                          <w:color w:val="FF0000"/>
                          <w:sz w:val="20"/>
                        </w:rPr>
                        <w:t>Discharging Limit</w:t>
                      </w:r>
                    </w:p>
                  </w:txbxContent>
                </v:textbox>
                <w10:wrap type="square"/>
              </v:rect>
            </w:pict>
          </mc:Fallback>
        </mc:AlternateContent>
      </w:r>
    </w:p>
    <w:p w14:paraId="7AC13D99" w14:textId="77777777" w:rsidR="00EA1543" w:rsidRDefault="00EA1543">
      <w:pPr>
        <w:jc w:val="center"/>
        <w:rPr>
          <w:rFonts w:ascii="Times New Roman" w:eastAsia="Times New Roman" w:hAnsi="Times New Roman" w:cs="Times New Roman"/>
        </w:rPr>
      </w:pPr>
    </w:p>
    <w:p w14:paraId="7AC13D9A" w14:textId="77777777" w:rsidR="00EA1543" w:rsidRDefault="00EA1543">
      <w:pPr>
        <w:spacing w:after="180"/>
        <w:jc w:val="center"/>
        <w:rPr>
          <w:rFonts w:ascii="Times New Roman" w:eastAsia="Times New Roman" w:hAnsi="Times New Roman" w:cs="Times New Roman"/>
        </w:rPr>
      </w:pPr>
    </w:p>
    <w:p w14:paraId="7AC13D9B" w14:textId="77777777" w:rsidR="00EA1543" w:rsidRDefault="00ED5B14">
      <w:pPr>
        <w:spacing w:after="180"/>
        <w:jc w:val="center"/>
        <w:rPr>
          <w:rFonts w:ascii="Times New Roman" w:eastAsia="Times New Roman" w:hAnsi="Times New Roman" w:cs="Times New Roman"/>
        </w:rPr>
      </w:pPr>
      <w:r>
        <w:rPr>
          <w:noProof/>
        </w:rPr>
        <w:drawing>
          <wp:inline distT="0" distB="0" distL="0" distR="0" wp14:anchorId="7AC13E0E" wp14:editId="7AC13E0F">
            <wp:extent cx="5492750" cy="3086100"/>
            <wp:effectExtent l="0" t="0" r="0" b="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C13D9C" w14:textId="77777777" w:rsidR="00EA1543" w:rsidRDefault="00ED5B14">
      <w:pPr>
        <w:spacing w:after="180"/>
        <w:jc w:val="center"/>
        <w:rPr>
          <w:rFonts w:ascii="Times New Roman" w:eastAsia="Times New Roman" w:hAnsi="Times New Roman" w:cs="Times New Roman"/>
        </w:rPr>
      </w:pPr>
      <w:r>
        <w:rPr>
          <w:rFonts w:ascii="Times New Roman" w:eastAsia="Times New Roman" w:hAnsi="Times New Roman" w:cs="Times New Roman"/>
          <w:b/>
        </w:rPr>
        <w:t xml:space="preserve">Figure 12. </w:t>
      </w:r>
      <w:r>
        <w:rPr>
          <w:rFonts w:ascii="Times New Roman" w:eastAsia="Times New Roman" w:hAnsi="Times New Roman" w:cs="Times New Roman"/>
        </w:rPr>
        <w:t xml:space="preserve">Impact of charging time on average BTES storage temperatures and thermal efficiency. </w:t>
      </w:r>
    </w:p>
    <w:p w14:paraId="7AC13DA0" w14:textId="77777777" w:rsidR="00EA1543" w:rsidRDefault="00EA1543">
      <w:pPr>
        <w:spacing w:after="180"/>
        <w:jc w:val="both"/>
        <w:rPr>
          <w:rFonts w:ascii="Times New Roman" w:eastAsia="Times New Roman" w:hAnsi="Times New Roman" w:cs="Times New Roman"/>
        </w:rPr>
      </w:pPr>
    </w:p>
    <w:p w14:paraId="7AC13DA1" w14:textId="77777777" w:rsidR="00EA1543" w:rsidRDefault="00ED5B14">
      <w:pPr>
        <w:spacing w:before="240"/>
      </w:pPr>
      <w:r>
        <w:rPr>
          <w:i/>
        </w:rPr>
        <w:t>3.3.3 Effect of Borehole exchanger depth.</w:t>
      </w:r>
    </w:p>
    <w:p w14:paraId="7AC13DA2" w14:textId="77777777" w:rsidR="00EA1543" w:rsidRDefault="00ED5B14">
      <w:pPr>
        <w:spacing w:before="240"/>
        <w:jc w:val="both"/>
      </w:pPr>
      <w:r>
        <w:t>Increasing BHE depth has been found to have a minimal effect on BHE charging up. As can be seen from figure 12, at constant charging fluid temperature, BTES temperature decreases with increasing depth.</w:t>
      </w:r>
    </w:p>
    <w:p w14:paraId="7AC13DA4" w14:textId="77777777" w:rsidR="00EA1543" w:rsidRDefault="00ED5B14">
      <w:pPr>
        <w:spacing w:after="18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AC13E10" wp14:editId="7AC13E11">
            <wp:extent cx="4830270" cy="2054434"/>
            <wp:effectExtent l="0" t="0" r="0" b="0"/>
            <wp:docPr id="2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4830270" cy="2054434"/>
                    </a:xfrm>
                    <a:prstGeom prst="rect">
                      <a:avLst/>
                    </a:prstGeom>
                    <a:ln/>
                  </pic:spPr>
                </pic:pic>
              </a:graphicData>
            </a:graphic>
          </wp:inline>
        </w:drawing>
      </w:r>
    </w:p>
    <w:p w14:paraId="7AC13DA5" w14:textId="77777777" w:rsidR="00EA1543" w:rsidRDefault="00ED5B14">
      <w:pPr>
        <w:spacing w:after="180"/>
        <w:jc w:val="center"/>
        <w:rPr>
          <w:rFonts w:ascii="Times New Roman" w:eastAsia="Times New Roman" w:hAnsi="Times New Roman" w:cs="Times New Roman"/>
        </w:rPr>
      </w:pPr>
      <w:r>
        <w:rPr>
          <w:rFonts w:ascii="Times New Roman" w:eastAsia="Times New Roman" w:hAnsi="Times New Roman" w:cs="Times New Roman"/>
          <w:b/>
        </w:rPr>
        <w:t>Figure 12.</w:t>
      </w:r>
      <w:r>
        <w:rPr>
          <w:rFonts w:ascii="Times New Roman" w:eastAsia="Times New Roman" w:hAnsi="Times New Roman" w:cs="Times New Roman"/>
        </w:rPr>
        <w:t xml:space="preserve"> Impact of increased flow rate on average BTES temperatures.</w:t>
      </w:r>
    </w:p>
    <w:p w14:paraId="7AC13DA7" w14:textId="77777777" w:rsidR="00EA1543" w:rsidRDefault="00EA1543">
      <w:pPr>
        <w:spacing w:after="180"/>
        <w:jc w:val="center"/>
        <w:rPr>
          <w:rFonts w:ascii="Times New Roman" w:eastAsia="Times New Roman" w:hAnsi="Times New Roman" w:cs="Times New Roman"/>
        </w:rPr>
      </w:pPr>
    </w:p>
    <w:p w14:paraId="7AC13DA8" w14:textId="77777777" w:rsidR="00EA1543" w:rsidRDefault="00ED5B14">
      <w:pPr>
        <w:spacing w:before="240"/>
      </w:pPr>
      <w:r>
        <w:rPr>
          <w:i/>
        </w:rPr>
        <w:t>3.3.4 Effect of injection water temperature</w:t>
      </w:r>
    </w:p>
    <w:p w14:paraId="7AC13DAA" w14:textId="77777777" w:rsidR="00EA1543" w:rsidRDefault="00ED5B14">
      <w:pPr>
        <w:spacing w:after="180"/>
        <w:jc w:val="both"/>
        <w:rPr>
          <w:rFonts w:ascii="Times New Roman" w:eastAsia="Times New Roman" w:hAnsi="Times New Roman" w:cs="Times New Roman"/>
        </w:rPr>
      </w:pPr>
      <w:r>
        <w:rPr>
          <w:rFonts w:ascii="Times New Roman" w:eastAsia="Times New Roman" w:hAnsi="Times New Roman" w:cs="Times New Roman"/>
        </w:rPr>
        <w:t xml:space="preserve">Figure 13 shows the influence of increasing injection temperature of heat carrier fluid. The BTES temperature steadily increases by increasing the injection temperature during charging up. BTES storage temperatures are found to increase linearly as injection temperatures increase (see figure 14). However, cooling down during discharge was faster at higher temperatures. </w:t>
      </w:r>
      <w:r>
        <w:rPr>
          <w:rFonts w:ascii="Times New Roman" w:eastAsia="Times New Roman" w:hAnsi="Times New Roman" w:cs="Times New Roman"/>
          <w:highlight w:val="white"/>
        </w:rPr>
        <w:t>As the temperature within the BTES increases, the rate of heat loss to the surrounding rocks also increases.</w:t>
      </w:r>
    </w:p>
    <w:p w14:paraId="45E3ACDD" w14:textId="77777777" w:rsidR="00D33D17" w:rsidRDefault="00D33D17">
      <w:pPr>
        <w:spacing w:after="180"/>
        <w:jc w:val="both"/>
        <w:rPr>
          <w:rFonts w:ascii="Times New Roman" w:eastAsia="Times New Roman" w:hAnsi="Times New Roman" w:cs="Times New Roman"/>
        </w:rPr>
      </w:pPr>
    </w:p>
    <w:p w14:paraId="714605E6" w14:textId="77777777" w:rsidR="00D33D17" w:rsidRDefault="00D33D17" w:rsidP="00D33D17">
      <w:pPr>
        <w:spacing w:after="180"/>
        <w:jc w:val="center"/>
        <w:rPr>
          <w:rFonts w:ascii="Times New Roman" w:eastAsia="Times New Roman" w:hAnsi="Times New Roman" w:cs="Times New Roman"/>
        </w:rPr>
      </w:pPr>
      <w:r>
        <w:rPr>
          <w:noProof/>
        </w:rPr>
        <w:drawing>
          <wp:anchor distT="0" distB="0" distL="114300" distR="114300" simplePos="0" relativeHeight="251673600" behindDoc="1" locked="0" layoutInCell="1" hidden="0" allowOverlap="1" wp14:anchorId="265D3A4C" wp14:editId="61924542">
            <wp:simplePos x="0" y="0"/>
            <wp:positionH relativeFrom="column">
              <wp:posOffset>186517</wp:posOffset>
            </wp:positionH>
            <wp:positionV relativeFrom="paragraph">
              <wp:posOffset>173</wp:posOffset>
            </wp:positionV>
            <wp:extent cx="5600700" cy="2912745"/>
            <wp:effectExtent l="0" t="0" r="0" b="0"/>
            <wp:wrapTopAndBottom distT="0" distB="0"/>
            <wp:docPr id="2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600700" cy="291274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rPr>
        <w:t>Figure 13.</w:t>
      </w:r>
      <w:r>
        <w:rPr>
          <w:rFonts w:ascii="Times New Roman" w:eastAsia="Times New Roman" w:hAnsi="Times New Roman" w:cs="Times New Roman"/>
        </w:rPr>
        <w:t xml:space="preserve"> Impact of increased flow rate on average BTES temperatures after 15-months charging and 6 months discharging.</w:t>
      </w:r>
      <w:r>
        <w:rPr>
          <w:noProof/>
        </w:rPr>
        <mc:AlternateContent>
          <mc:Choice Requires="wps">
            <w:drawing>
              <wp:anchor distT="45720" distB="45720" distL="114300" distR="114300" simplePos="0" relativeHeight="251674624" behindDoc="0" locked="0" layoutInCell="1" hidden="0" allowOverlap="1" wp14:anchorId="4377D20A" wp14:editId="66C19409">
                <wp:simplePos x="0" y="0"/>
                <wp:positionH relativeFrom="column">
                  <wp:posOffset>1181100</wp:posOffset>
                </wp:positionH>
                <wp:positionV relativeFrom="paragraph">
                  <wp:posOffset>287020</wp:posOffset>
                </wp:positionV>
                <wp:extent cx="1482725" cy="295275"/>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4609400" y="3637125"/>
                          <a:ext cx="1473200" cy="285750"/>
                        </a:xfrm>
                        <a:prstGeom prst="rect">
                          <a:avLst/>
                        </a:prstGeom>
                        <a:solidFill>
                          <a:srgbClr val="FFFFFF">
                            <a:alpha val="0"/>
                          </a:srgbClr>
                        </a:solidFill>
                        <a:ln>
                          <a:noFill/>
                        </a:ln>
                      </wps:spPr>
                      <wps:txbx>
                        <w:txbxContent>
                          <w:p w14:paraId="72F735EA" w14:textId="77777777" w:rsidR="00D33D17" w:rsidRDefault="00D33D17" w:rsidP="00D33D17">
                            <w:pPr>
                              <w:textDirection w:val="btLr"/>
                            </w:pPr>
                            <w:r>
                              <w:rPr>
                                <w:color w:val="FF0000"/>
                                <w:sz w:val="20"/>
                              </w:rPr>
                              <w:t>15 months Charging</w:t>
                            </w:r>
                          </w:p>
                        </w:txbxContent>
                      </wps:txbx>
                      <wps:bodyPr spcFirstLastPara="1" wrap="square" lIns="91425" tIns="45700" rIns="91425" bIns="45700" anchor="t" anchorCtr="0">
                        <a:noAutofit/>
                      </wps:bodyPr>
                    </wps:wsp>
                  </a:graphicData>
                </a:graphic>
              </wp:anchor>
            </w:drawing>
          </mc:Choice>
          <mc:Fallback>
            <w:pict>
              <v:rect w14:anchorId="4377D20A" id="Rectangle 224" o:spid="_x0000_s1030" style="position:absolute;left:0;text-align:left;margin-left:93pt;margin-top:22.6pt;width:116.75pt;height:23.2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" stroked="f">
                <v:fill opacity="0"/>
                <v:textbox inset="2.53958mm,1.2694mm,2.53958mm,1.2694mm">
                  <w:txbxContent>
                    <w:p w14:paraId="72F735EA" w14:textId="77777777" w:rsidR="00D33D17" w:rsidRDefault="00D33D17" w:rsidP="00D33D17">
                      <w:pPr>
                        <w:textDirection w:val="btLr"/>
                      </w:pPr>
                      <w:r>
                        <w:rPr>
                          <w:color w:val="FF0000"/>
                          <w:sz w:val="20"/>
                        </w:rPr>
                        <w:t>15 months Charging</w:t>
                      </w:r>
                    </w:p>
                  </w:txbxContent>
                </v:textbox>
                <w10:wrap type="square"/>
              </v:rect>
            </w:pict>
          </mc:Fallback>
        </mc:AlternateContent>
      </w:r>
      <w:r>
        <w:rPr>
          <w:noProof/>
        </w:rPr>
        <mc:AlternateContent>
          <mc:Choice Requires="wps">
            <w:drawing>
              <wp:anchor distT="0" distB="0" distL="114300" distR="114300" simplePos="0" relativeHeight="251675648" behindDoc="0" locked="0" layoutInCell="1" hidden="0" allowOverlap="1" wp14:anchorId="2B590546" wp14:editId="112C0668">
                <wp:simplePos x="0" y="0"/>
                <wp:positionH relativeFrom="column">
                  <wp:posOffset>3810000</wp:posOffset>
                </wp:positionH>
                <wp:positionV relativeFrom="paragraph">
                  <wp:posOffset>292100</wp:posOffset>
                </wp:positionV>
                <wp:extent cx="28575" cy="2219325"/>
                <wp:effectExtent l="0" t="0" r="0" b="0"/>
                <wp:wrapNone/>
                <wp:docPr id="221" name="Straight Arrow Connector 221"/>
                <wp:cNvGraphicFramePr/>
                <a:graphic xmlns:a="http://schemas.openxmlformats.org/drawingml/2006/main">
                  <a:graphicData uri="http://schemas.microsoft.com/office/word/2010/wordprocessingShape">
                    <wps:wsp>
                      <wps:cNvCnPr/>
                      <wps:spPr>
                        <a:xfrm>
                          <a:off x="5336475" y="2675100"/>
                          <a:ext cx="19050" cy="2209800"/>
                        </a:xfrm>
                        <a:prstGeom prst="straightConnector1">
                          <a:avLst/>
                        </a:prstGeom>
                        <a:noFill/>
                        <a:ln w="9525" cap="flat" cmpd="sng">
                          <a:solidFill>
                            <a:srgbClr val="BD4B48"/>
                          </a:solidFill>
                          <a:prstDash val="solid"/>
                          <a:round/>
                          <a:headEnd type="none" w="sm" len="sm"/>
                          <a:tailEnd type="none" w="sm" len="sm"/>
                        </a:ln>
                      </wps:spPr>
                      <wps:bodyPr/>
                    </wps:wsp>
                  </a:graphicData>
                </a:graphic>
              </wp:anchor>
            </w:drawing>
          </mc:Choice>
          <mc:Fallback>
            <w:pict>
              <v:shape w14:anchorId="36331EA0" id="Straight Arrow Connector 221" o:spid="_x0000_s1026" type="#_x0000_t32" style="position:absolute;margin-left:300pt;margin-top:23pt;width:2.25pt;height:174.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" strokecolor="#bd4b48">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76672" behindDoc="0" locked="0" layoutInCell="1" hidden="0" allowOverlap="1" wp14:anchorId="60FE6B31" wp14:editId="1B632579">
                <wp:simplePos x="0" y="0"/>
                <wp:positionH relativeFrom="column">
                  <wp:posOffset>635000</wp:posOffset>
                </wp:positionH>
                <wp:positionV relativeFrom="paragraph">
                  <wp:posOffset>533400</wp:posOffset>
                </wp:positionV>
                <wp:extent cx="3068955" cy="54610"/>
                <wp:effectExtent l="0" t="0" r="0" b="0"/>
                <wp:wrapNone/>
                <wp:docPr id="227" name="Straight Arrow Connector 227"/>
                <wp:cNvGraphicFramePr/>
                <a:graphic xmlns:a="http://schemas.openxmlformats.org/drawingml/2006/main">
                  <a:graphicData uri="http://schemas.microsoft.com/office/word/2010/wordprocessingShape">
                    <wps:wsp>
                      <wps:cNvCnPr/>
                      <wps:spPr>
                        <a:xfrm rot="10800000" flipH="1">
                          <a:off x="3816285" y="3757458"/>
                          <a:ext cx="3059430" cy="45085"/>
                        </a:xfrm>
                        <a:prstGeom prst="straightConnector1">
                          <a:avLst/>
                        </a:prstGeom>
                        <a:noFill/>
                        <a:ln w="9525" cap="flat" cmpd="sng">
                          <a:solidFill>
                            <a:srgbClr val="4A7DBA"/>
                          </a:solidFill>
                          <a:prstDash val="solid"/>
                          <a:round/>
                          <a:headEnd type="triangle" w="med" len="med"/>
                          <a:tailEnd type="triangle" w="med" len="med"/>
                        </a:ln>
                      </wps:spPr>
                      <wps:bodyPr/>
                    </wps:wsp>
                  </a:graphicData>
                </a:graphic>
              </wp:anchor>
            </w:drawing>
          </mc:Choice>
          <mc:Fallback>
            <w:pict>
              <v:shape w14:anchorId="37171821" id="Straight Arrow Connector 227" o:spid="_x0000_s1026" type="#_x0000_t32" style="position:absolute;margin-left:50pt;margin-top:42pt;width:241.65pt;height:4.3pt;rotation:18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" strokecolor="#4a7dba">
                <v:stroke startarrow="block" endarrow="block"/>
              </v:shape>
            </w:pict>
          </mc:Fallback>
        </mc:AlternateContent>
      </w:r>
      <w:r>
        <w:rPr>
          <w:noProof/>
        </w:rPr>
        <mc:AlternateContent>
          <mc:Choice Requires="wps">
            <w:drawing>
              <wp:anchor distT="0" distB="0" distL="114300" distR="114300" simplePos="0" relativeHeight="251677696" behindDoc="0" locked="0" layoutInCell="1" hidden="0" allowOverlap="1" wp14:anchorId="45A1514C" wp14:editId="58B8AF3E">
                <wp:simplePos x="0" y="0"/>
                <wp:positionH relativeFrom="column">
                  <wp:posOffset>1866900</wp:posOffset>
                </wp:positionH>
                <wp:positionV relativeFrom="paragraph">
                  <wp:posOffset>685800</wp:posOffset>
                </wp:positionV>
                <wp:extent cx="22225" cy="1768475"/>
                <wp:effectExtent l="0" t="0" r="0" b="0"/>
                <wp:wrapNone/>
                <wp:docPr id="229" name="Straight Arrow Connector 229"/>
                <wp:cNvGraphicFramePr/>
                <a:graphic xmlns:a="http://schemas.openxmlformats.org/drawingml/2006/main">
                  <a:graphicData uri="http://schemas.microsoft.com/office/word/2010/wordprocessingShape">
                    <wps:wsp>
                      <wps:cNvCnPr/>
                      <wps:spPr>
                        <a:xfrm>
                          <a:off x="5339650" y="2900525"/>
                          <a:ext cx="12700" cy="1758950"/>
                        </a:xfrm>
                        <a:prstGeom prst="straightConnector1">
                          <a:avLst/>
                        </a:prstGeom>
                        <a:noFill/>
                        <a:ln w="9525" cap="flat" cmpd="sng">
                          <a:solidFill>
                            <a:srgbClr val="C0504D"/>
                          </a:solidFill>
                          <a:prstDash val="dash"/>
                          <a:round/>
                          <a:headEnd type="none" w="sm" len="sm"/>
                          <a:tailEnd type="none" w="sm" len="sm"/>
                        </a:ln>
                      </wps:spPr>
                      <wps:bodyPr/>
                    </wps:wsp>
                  </a:graphicData>
                </a:graphic>
              </wp:anchor>
            </w:drawing>
          </mc:Choice>
          <mc:Fallback>
            <w:pict>
              <v:shape w14:anchorId="596B0B62" id="Straight Arrow Connector 229" o:spid="_x0000_s1026" type="#_x0000_t32" style="position:absolute;margin-left:147pt;margin-top:54pt;width:1.75pt;height:139.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" strokecolor="#c0504d">
                <v:stroke dashstyle="dash" startarrowwidth="narrow" startarrowlength="short" endarrowwidth="narrow" endarrowlength="short"/>
              </v:shape>
            </w:pict>
          </mc:Fallback>
        </mc:AlternateContent>
      </w:r>
      <w:r>
        <w:rPr>
          <w:noProof/>
        </w:rPr>
        <mc:AlternateContent>
          <mc:Choice Requires="wps">
            <w:drawing>
              <wp:anchor distT="0" distB="0" distL="114300" distR="114300" simplePos="0" relativeHeight="251678720" behindDoc="0" locked="0" layoutInCell="1" hidden="0" allowOverlap="1" wp14:anchorId="4027C72C" wp14:editId="5110C12B">
                <wp:simplePos x="0" y="0"/>
                <wp:positionH relativeFrom="column">
                  <wp:posOffset>571500</wp:posOffset>
                </wp:positionH>
                <wp:positionV relativeFrom="paragraph">
                  <wp:posOffset>1016000</wp:posOffset>
                </wp:positionV>
                <wp:extent cx="1233525" cy="55244"/>
                <wp:effectExtent l="0" t="0" r="0" b="0"/>
                <wp:wrapNone/>
                <wp:docPr id="233" name="Straight Arrow Connector 233"/>
                <wp:cNvGraphicFramePr/>
                <a:graphic xmlns:a="http://schemas.openxmlformats.org/drawingml/2006/main">
                  <a:graphicData uri="http://schemas.microsoft.com/office/word/2010/wordprocessingShape">
                    <wps:wsp>
                      <wps:cNvCnPr/>
                      <wps:spPr>
                        <a:xfrm rot="10800000" flipH="1">
                          <a:off x="4734000" y="3757141"/>
                          <a:ext cx="1224000" cy="45719"/>
                        </a:xfrm>
                        <a:prstGeom prst="straightConnector1">
                          <a:avLst/>
                        </a:prstGeom>
                        <a:noFill/>
                        <a:ln w="9525" cap="flat" cmpd="sng">
                          <a:solidFill>
                            <a:srgbClr val="4A7DBA"/>
                          </a:solidFill>
                          <a:prstDash val="solid"/>
                          <a:round/>
                          <a:headEnd type="triangle" w="med" len="med"/>
                          <a:tailEnd type="triangle" w="med" len="med"/>
                        </a:ln>
                      </wps:spPr>
                      <wps:bodyPr/>
                    </wps:wsp>
                  </a:graphicData>
                </a:graphic>
              </wp:anchor>
            </w:drawing>
          </mc:Choice>
          <mc:Fallback>
            <w:pict>
              <v:shape w14:anchorId="7A736107" id="Straight Arrow Connector 233" o:spid="_x0000_s1026" type="#_x0000_t32" style="position:absolute;margin-left:45pt;margin-top:80pt;width:97.15pt;height:4.35pt;rotation:18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" strokecolor="#4a7dba">
                <v:stroke startarrow="block" endarrow="block"/>
              </v:shape>
            </w:pict>
          </mc:Fallback>
        </mc:AlternateContent>
      </w:r>
      <w:r>
        <w:rPr>
          <w:noProof/>
        </w:rPr>
        <mc:AlternateContent>
          <mc:Choice Requires="wps">
            <w:drawing>
              <wp:anchor distT="45720" distB="45720" distL="114300" distR="114300" simplePos="0" relativeHeight="251679744" behindDoc="0" locked="0" layoutInCell="1" hidden="0" allowOverlap="1" wp14:anchorId="0ACF74D4" wp14:editId="53C19333">
                <wp:simplePos x="0" y="0"/>
                <wp:positionH relativeFrom="column">
                  <wp:posOffset>609600</wp:posOffset>
                </wp:positionH>
                <wp:positionV relativeFrom="paragraph">
                  <wp:posOffset>655320</wp:posOffset>
                </wp:positionV>
                <wp:extent cx="1482725" cy="295275"/>
                <wp:effectExtent l="0" t="0" r="0" b="0"/>
                <wp:wrapSquare wrapText="bothSides" distT="45720" distB="45720" distL="114300" distR="114300"/>
                <wp:docPr id="238" name="Rectangle 238"/>
                <wp:cNvGraphicFramePr/>
                <a:graphic xmlns:a="http://schemas.openxmlformats.org/drawingml/2006/main">
                  <a:graphicData uri="http://schemas.microsoft.com/office/word/2010/wordprocessingShape">
                    <wps:wsp>
                      <wps:cNvSpPr/>
                      <wps:spPr>
                        <a:xfrm>
                          <a:off x="4609400" y="3637125"/>
                          <a:ext cx="1473200" cy="285750"/>
                        </a:xfrm>
                        <a:prstGeom prst="rect">
                          <a:avLst/>
                        </a:prstGeom>
                        <a:solidFill>
                          <a:srgbClr val="FFFFFF">
                            <a:alpha val="0"/>
                          </a:srgbClr>
                        </a:solidFill>
                        <a:ln>
                          <a:noFill/>
                        </a:ln>
                      </wps:spPr>
                      <wps:txbx>
                        <w:txbxContent>
                          <w:p w14:paraId="10DC3451" w14:textId="77777777" w:rsidR="00D33D17" w:rsidRDefault="00D33D17" w:rsidP="00D33D17">
                            <w:pPr>
                              <w:textDirection w:val="btLr"/>
                            </w:pPr>
                            <w:r>
                              <w:rPr>
                                <w:color w:val="FF0000"/>
                                <w:sz w:val="20"/>
                              </w:rPr>
                              <w:t>6 months Charging</w:t>
                            </w:r>
                          </w:p>
                        </w:txbxContent>
                      </wps:txbx>
                      <wps:bodyPr spcFirstLastPara="1" wrap="square" lIns="91425" tIns="45700" rIns="91425" bIns="45700" anchor="t" anchorCtr="0">
                        <a:noAutofit/>
                      </wps:bodyPr>
                    </wps:wsp>
                  </a:graphicData>
                </a:graphic>
              </wp:anchor>
            </w:drawing>
          </mc:Choice>
          <mc:Fallback>
            <w:pict>
              <v:rect w14:anchorId="0ACF74D4" id="Rectangle 238" o:spid="_x0000_s1031" style="position:absolute;left:0;text-align:left;margin-left:48pt;margin-top:51.6pt;width:116.75pt;height:23.25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" stroked="f">
                <v:fill opacity="0"/>
                <v:textbox inset="2.53958mm,1.2694mm,2.53958mm,1.2694mm">
                  <w:txbxContent>
                    <w:p w14:paraId="10DC3451" w14:textId="77777777" w:rsidR="00D33D17" w:rsidRDefault="00D33D17" w:rsidP="00D33D17">
                      <w:pPr>
                        <w:textDirection w:val="btLr"/>
                      </w:pPr>
                      <w:r>
                        <w:rPr>
                          <w:color w:val="FF0000"/>
                          <w:sz w:val="20"/>
                        </w:rPr>
                        <w:t>6 months Charging</w:t>
                      </w:r>
                    </w:p>
                  </w:txbxContent>
                </v:textbox>
                <w10:wrap type="square"/>
              </v:rect>
            </w:pict>
          </mc:Fallback>
        </mc:AlternateContent>
      </w:r>
      <w:r>
        <w:rPr>
          <w:noProof/>
        </w:rPr>
        <mc:AlternateContent>
          <mc:Choice Requires="wps">
            <w:drawing>
              <wp:anchor distT="0" distB="0" distL="114300" distR="114300" simplePos="0" relativeHeight="251680768" behindDoc="0" locked="0" layoutInCell="1" hidden="0" allowOverlap="1" wp14:anchorId="4438EF7B" wp14:editId="5748275C">
                <wp:simplePos x="0" y="0"/>
                <wp:positionH relativeFrom="column">
                  <wp:posOffset>5080000</wp:posOffset>
                </wp:positionH>
                <wp:positionV relativeFrom="paragraph">
                  <wp:posOffset>304800</wp:posOffset>
                </wp:positionV>
                <wp:extent cx="6350" cy="2152650"/>
                <wp:effectExtent l="0" t="0" r="0" b="0"/>
                <wp:wrapNone/>
                <wp:docPr id="225" name="Straight Arrow Connector 225"/>
                <wp:cNvGraphicFramePr/>
                <a:graphic xmlns:a="http://schemas.openxmlformats.org/drawingml/2006/main">
                  <a:graphicData uri="http://schemas.microsoft.com/office/word/2010/wordprocessingShape">
                    <wps:wsp>
                      <wps:cNvCnPr/>
                      <wps:spPr>
                        <a:xfrm flipH="1">
                          <a:off x="5342825" y="2703675"/>
                          <a:ext cx="6350" cy="2152650"/>
                        </a:xfrm>
                        <a:prstGeom prst="straightConnector1">
                          <a:avLst/>
                        </a:prstGeom>
                        <a:noFill/>
                        <a:ln w="9525" cap="flat" cmpd="sng">
                          <a:solidFill>
                            <a:srgbClr val="BD4B48"/>
                          </a:solidFill>
                          <a:prstDash val="solid"/>
                          <a:round/>
                          <a:headEnd type="none" w="sm" len="sm"/>
                          <a:tailEnd type="none" w="sm" len="sm"/>
                        </a:ln>
                      </wps:spPr>
                      <wps:bodyPr/>
                    </wps:wsp>
                  </a:graphicData>
                </a:graphic>
              </wp:anchor>
            </w:drawing>
          </mc:Choice>
          <mc:Fallback>
            <w:pict>
              <v:shape w14:anchorId="34AE5C2D" id="Straight Arrow Connector 225" o:spid="_x0000_s1026" type="#_x0000_t32" style="position:absolute;margin-left:400pt;margin-top:24pt;width:.5pt;height:169.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" strokecolor="#bd4b48">
                <v:stroke startarrowwidth="narrow" startarrowlength="short" endarrowwidth="narrow" endarrowlength="short"/>
              </v:shape>
            </w:pict>
          </mc:Fallback>
        </mc:AlternateContent>
      </w:r>
      <w:r>
        <w:rPr>
          <w:noProof/>
        </w:rPr>
        <mc:AlternateContent>
          <mc:Choice Requires="wps">
            <w:drawing>
              <wp:anchor distT="45720" distB="45720" distL="114300" distR="114300" simplePos="0" relativeHeight="251681792" behindDoc="0" locked="0" layoutInCell="1" hidden="0" allowOverlap="1" wp14:anchorId="061AE0EC" wp14:editId="503371CF">
                <wp:simplePos x="0" y="0"/>
                <wp:positionH relativeFrom="column">
                  <wp:posOffset>3797300</wp:posOffset>
                </wp:positionH>
                <wp:positionV relativeFrom="paragraph">
                  <wp:posOffset>287020</wp:posOffset>
                </wp:positionV>
                <wp:extent cx="1482725" cy="295275"/>
                <wp:effectExtent l="0" t="0" r="0" b="0"/>
                <wp:wrapSquare wrapText="bothSides" distT="45720" distB="45720" distL="114300" distR="114300"/>
                <wp:docPr id="235" name="Rectangle 235"/>
                <wp:cNvGraphicFramePr/>
                <a:graphic xmlns:a="http://schemas.openxmlformats.org/drawingml/2006/main">
                  <a:graphicData uri="http://schemas.microsoft.com/office/word/2010/wordprocessingShape">
                    <wps:wsp>
                      <wps:cNvSpPr/>
                      <wps:spPr>
                        <a:xfrm>
                          <a:off x="4609400" y="3637125"/>
                          <a:ext cx="1473200" cy="285750"/>
                        </a:xfrm>
                        <a:prstGeom prst="rect">
                          <a:avLst/>
                        </a:prstGeom>
                        <a:solidFill>
                          <a:srgbClr val="FFFFFF">
                            <a:alpha val="0"/>
                          </a:srgbClr>
                        </a:solidFill>
                        <a:ln>
                          <a:noFill/>
                        </a:ln>
                      </wps:spPr>
                      <wps:txbx>
                        <w:txbxContent>
                          <w:p w14:paraId="6ACFC6E3" w14:textId="77777777" w:rsidR="00D33D17" w:rsidRDefault="00D33D17" w:rsidP="00D33D17">
                            <w:pPr>
                              <w:textDirection w:val="btLr"/>
                            </w:pPr>
                            <w:r>
                              <w:rPr>
                                <w:color w:val="FF0000"/>
                                <w:sz w:val="20"/>
                              </w:rPr>
                              <w:t>6 months Discharging</w:t>
                            </w:r>
                          </w:p>
                        </w:txbxContent>
                      </wps:txbx>
                      <wps:bodyPr spcFirstLastPara="1" wrap="square" lIns="91425" tIns="45700" rIns="91425" bIns="45700" anchor="t" anchorCtr="0">
                        <a:noAutofit/>
                      </wps:bodyPr>
                    </wps:wsp>
                  </a:graphicData>
                </a:graphic>
              </wp:anchor>
            </w:drawing>
          </mc:Choice>
          <mc:Fallback>
            <w:pict>
              <v:rect w14:anchorId="061AE0EC" id="Rectangle 235" o:spid="_x0000_s1032" style="position:absolute;left:0;text-align:left;margin-left:299pt;margin-top:22.6pt;width:116.75pt;height:23.2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" stroked="f">
                <v:fill opacity="0"/>
                <v:textbox inset="2.53958mm,1.2694mm,2.53958mm,1.2694mm">
                  <w:txbxContent>
                    <w:p w14:paraId="6ACFC6E3" w14:textId="77777777" w:rsidR="00D33D17" w:rsidRDefault="00D33D17" w:rsidP="00D33D17">
                      <w:pPr>
                        <w:textDirection w:val="btLr"/>
                      </w:pPr>
                      <w:r>
                        <w:rPr>
                          <w:color w:val="FF0000"/>
                          <w:sz w:val="20"/>
                        </w:rPr>
                        <w:t>6 months Discharging</w:t>
                      </w:r>
                    </w:p>
                  </w:txbxContent>
                </v:textbox>
                <w10:wrap type="square"/>
              </v:rect>
            </w:pict>
          </mc:Fallback>
        </mc:AlternateContent>
      </w:r>
      <w:r>
        <w:rPr>
          <w:noProof/>
        </w:rPr>
        <mc:AlternateContent>
          <mc:Choice Requires="wps">
            <w:drawing>
              <wp:anchor distT="0" distB="0" distL="114300" distR="114300" simplePos="0" relativeHeight="251682816" behindDoc="0" locked="0" layoutInCell="1" hidden="0" allowOverlap="1" wp14:anchorId="60A1F541" wp14:editId="404A9D66">
                <wp:simplePos x="0" y="0"/>
                <wp:positionH relativeFrom="column">
                  <wp:posOffset>3822700</wp:posOffset>
                </wp:positionH>
                <wp:positionV relativeFrom="paragraph">
                  <wp:posOffset>546100</wp:posOffset>
                </wp:positionV>
                <wp:extent cx="1241425" cy="55244"/>
                <wp:effectExtent l="0" t="0" r="0" b="0"/>
                <wp:wrapNone/>
                <wp:docPr id="223" name="Straight Arrow Connector 223"/>
                <wp:cNvGraphicFramePr/>
                <a:graphic xmlns:a="http://schemas.openxmlformats.org/drawingml/2006/main">
                  <a:graphicData uri="http://schemas.microsoft.com/office/word/2010/wordprocessingShape">
                    <wps:wsp>
                      <wps:cNvCnPr/>
                      <wps:spPr>
                        <a:xfrm>
                          <a:off x="4730050" y="3757141"/>
                          <a:ext cx="1231900" cy="45719"/>
                        </a:xfrm>
                        <a:prstGeom prst="straightConnector1">
                          <a:avLst/>
                        </a:prstGeom>
                        <a:noFill/>
                        <a:ln w="9525" cap="flat" cmpd="sng">
                          <a:solidFill>
                            <a:srgbClr val="4A7DBA"/>
                          </a:solidFill>
                          <a:prstDash val="solid"/>
                          <a:round/>
                          <a:headEnd type="triangle" w="med" len="med"/>
                          <a:tailEnd type="triangle" w="med" len="med"/>
                        </a:ln>
                      </wps:spPr>
                      <wps:bodyPr/>
                    </wps:wsp>
                  </a:graphicData>
                </a:graphic>
              </wp:anchor>
            </w:drawing>
          </mc:Choice>
          <mc:Fallback>
            <w:pict>
              <v:shape w14:anchorId="5683F09D" id="Straight Arrow Connector 223" o:spid="_x0000_s1026" type="#_x0000_t32" style="position:absolute;margin-left:301pt;margin-top:43pt;width:97.75pt;height:4.3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" strokecolor="#4a7dba">
                <v:stroke startarrow="block" endarrow="block"/>
              </v:shape>
            </w:pict>
          </mc:Fallback>
        </mc:AlternateContent>
      </w:r>
    </w:p>
    <w:p w14:paraId="7AC13DAC" w14:textId="77777777" w:rsidR="00EA1543" w:rsidRDefault="00EA1543">
      <w:pPr>
        <w:spacing w:after="180"/>
        <w:jc w:val="both"/>
        <w:rPr>
          <w:rFonts w:ascii="Times New Roman" w:eastAsia="Times New Roman" w:hAnsi="Times New Roman" w:cs="Times New Roman"/>
        </w:rPr>
      </w:pPr>
    </w:p>
    <w:p w14:paraId="7AC13DB7" w14:textId="77777777" w:rsidR="00EA1543" w:rsidRDefault="00ED5B14">
      <w:pPr>
        <w:spacing w:after="180"/>
        <w:jc w:val="center"/>
        <w:rPr>
          <w:rFonts w:ascii="Times New Roman" w:eastAsia="Times New Roman" w:hAnsi="Times New Roman" w:cs="Times New Roman"/>
        </w:rPr>
      </w:pPr>
      <w:r>
        <w:rPr>
          <w:noProof/>
        </w:rPr>
        <w:lastRenderedPageBreak/>
        <w:drawing>
          <wp:inline distT="0" distB="0" distL="0" distR="0" wp14:anchorId="7AC13E26" wp14:editId="16F477D7">
            <wp:extent cx="5270500" cy="3295650"/>
            <wp:effectExtent l="0" t="0" r="0" b="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C13DB8" w14:textId="77777777" w:rsidR="00EA1543" w:rsidRDefault="00ED5B14">
      <w:pPr>
        <w:spacing w:after="180"/>
        <w:jc w:val="center"/>
        <w:rPr>
          <w:rFonts w:ascii="Times New Roman" w:eastAsia="Times New Roman" w:hAnsi="Times New Roman" w:cs="Times New Roman"/>
        </w:rPr>
      </w:pPr>
      <w:r>
        <w:rPr>
          <w:rFonts w:ascii="Times New Roman" w:eastAsia="Times New Roman" w:hAnsi="Times New Roman" w:cs="Times New Roman"/>
          <w:b/>
        </w:rPr>
        <w:t>Figure 14.</w:t>
      </w:r>
      <w:r>
        <w:rPr>
          <w:rFonts w:ascii="Times New Roman" w:eastAsia="Times New Roman" w:hAnsi="Times New Roman" w:cs="Times New Roman"/>
        </w:rPr>
        <w:t xml:space="preserve"> BTES storge temperature after 15 months charging and corresponding thermal efficiency.</w:t>
      </w:r>
    </w:p>
    <w:p w14:paraId="7AC13DBA" w14:textId="77777777" w:rsidR="00EA1543" w:rsidRDefault="00EA1543">
      <w:pPr>
        <w:spacing w:after="180"/>
        <w:jc w:val="both"/>
        <w:rPr>
          <w:rFonts w:ascii="Times New Roman" w:eastAsia="Times New Roman" w:hAnsi="Times New Roman" w:cs="Times New Roman"/>
        </w:rPr>
      </w:pPr>
    </w:p>
    <w:p w14:paraId="7AC13DBB" w14:textId="77777777" w:rsidR="00EA1543" w:rsidRDefault="00ED5B14">
      <w:pPr>
        <w:numPr>
          <w:ilvl w:val="0"/>
          <w:numId w:val="2"/>
        </w:numPr>
        <w:spacing w:before="240"/>
        <w:ind w:left="283" w:hanging="283"/>
        <w:rPr>
          <w:rFonts w:ascii="Times New Roman" w:eastAsia="Times New Roman" w:hAnsi="Times New Roman" w:cs="Times New Roman"/>
          <w:b/>
        </w:rPr>
      </w:pPr>
      <w:r>
        <w:rPr>
          <w:rFonts w:ascii="Times New Roman" w:eastAsia="Times New Roman" w:hAnsi="Times New Roman" w:cs="Times New Roman"/>
          <w:b/>
        </w:rPr>
        <w:t>Conclusions</w:t>
      </w:r>
    </w:p>
    <w:p w14:paraId="7AC13DBC" w14:textId="77777777" w:rsidR="00EA1543" w:rsidRDefault="00ED5B14">
      <w:pPr>
        <w:jc w:val="both"/>
        <w:rPr>
          <w:rFonts w:ascii="Times New Roman" w:eastAsia="Times New Roman" w:hAnsi="Times New Roman" w:cs="Times New Roman"/>
        </w:rPr>
      </w:pPr>
      <w:r>
        <w:rPr>
          <w:rFonts w:ascii="Times New Roman" w:eastAsia="Times New Roman" w:hAnsi="Times New Roman" w:cs="Times New Roman"/>
        </w:rPr>
        <w:t>In this paper, a large-scale BTES in Norway with 100 boreholes was modelled in CMG STARS. This model was validated by temperature distribution in 11 boreholes across the BTES measured by fibre optic temperature sensors. Following are the conclusions reached in this study:</w:t>
      </w:r>
    </w:p>
    <w:p w14:paraId="7AC13DBD" w14:textId="77777777" w:rsidR="00EA1543" w:rsidRDefault="00EA1543">
      <w:pPr>
        <w:jc w:val="both"/>
        <w:rPr>
          <w:rFonts w:ascii="Times New Roman" w:eastAsia="Times New Roman" w:hAnsi="Times New Roman" w:cs="Times New Roman"/>
        </w:rPr>
      </w:pPr>
    </w:p>
    <w:p w14:paraId="7AC13DBE" w14:textId="77777777" w:rsidR="00EA1543" w:rsidRDefault="00ED5B14">
      <w:pPr>
        <w:numPr>
          <w:ilvl w:val="0"/>
          <w:numId w:val="1"/>
        </w:numPr>
        <w:jc w:val="both"/>
        <w:rPr>
          <w:rFonts w:ascii="Times New Roman" w:eastAsia="Times New Roman" w:hAnsi="Times New Roman" w:cs="Times New Roman"/>
          <w:b/>
          <w:smallCaps/>
        </w:rPr>
      </w:pPr>
      <w:r>
        <w:rPr>
          <w:rFonts w:ascii="Times New Roman" w:eastAsia="Times New Roman" w:hAnsi="Times New Roman" w:cs="Times New Roman"/>
        </w:rPr>
        <w:t>The simulated temperatures matched well with the measured data.</w:t>
      </w:r>
    </w:p>
    <w:p w14:paraId="7AC13DBF" w14:textId="77777777" w:rsidR="00EA1543" w:rsidRDefault="00ED5B14">
      <w:pPr>
        <w:numPr>
          <w:ilvl w:val="0"/>
          <w:numId w:val="1"/>
        </w:numPr>
        <w:jc w:val="both"/>
        <w:rPr>
          <w:rFonts w:ascii="Times New Roman" w:eastAsia="Times New Roman" w:hAnsi="Times New Roman" w:cs="Times New Roman"/>
          <w:b/>
          <w:smallCaps/>
        </w:rPr>
      </w:pPr>
      <w:r>
        <w:rPr>
          <w:rFonts w:ascii="Times New Roman" w:eastAsia="Times New Roman" w:hAnsi="Times New Roman" w:cs="Times New Roman"/>
        </w:rPr>
        <w:t xml:space="preserve">The BTES storage temperature increases to a maximum temperature of 45°C, however during production, the temperature decreases to 32°C. </w:t>
      </w:r>
    </w:p>
    <w:p w14:paraId="7AC13DC0" w14:textId="77777777" w:rsidR="00EA1543" w:rsidRDefault="00ED5B14">
      <w:pPr>
        <w:numPr>
          <w:ilvl w:val="0"/>
          <w:numId w:val="1"/>
        </w:numPr>
        <w:jc w:val="both"/>
        <w:rPr>
          <w:rFonts w:ascii="Times New Roman" w:eastAsia="Times New Roman" w:hAnsi="Times New Roman" w:cs="Times New Roman"/>
          <w:b/>
          <w:smallCaps/>
        </w:rPr>
      </w:pPr>
      <w:r>
        <w:rPr>
          <w:rFonts w:ascii="Times New Roman" w:eastAsia="Times New Roman" w:hAnsi="Times New Roman" w:cs="Times New Roman"/>
          <w:sz w:val="20"/>
          <w:szCs w:val="20"/>
        </w:rPr>
        <w:t xml:space="preserve">In 5 years of operation, 35.5% of the heat injected into the BTES system was recovered, while the significant heat remained in the borehole region and lost to surrounding rock (64.5%).  </w:t>
      </w:r>
    </w:p>
    <w:p w14:paraId="7AC13DC1" w14:textId="77777777" w:rsidR="00EA1543" w:rsidRDefault="00ED5B14">
      <w:pPr>
        <w:numPr>
          <w:ilvl w:val="0"/>
          <w:numId w:val="1"/>
        </w:numPr>
        <w:jc w:val="both"/>
        <w:rPr>
          <w:rFonts w:ascii="Times New Roman" w:eastAsia="Times New Roman" w:hAnsi="Times New Roman" w:cs="Times New Roman"/>
          <w:b/>
          <w:smallCaps/>
        </w:rPr>
      </w:pPr>
      <w:r>
        <w:rPr>
          <w:rFonts w:ascii="Times New Roman" w:eastAsia="Times New Roman" w:hAnsi="Times New Roman" w:cs="Times New Roman"/>
          <w:sz w:val="20"/>
          <w:szCs w:val="20"/>
        </w:rPr>
        <w:t xml:space="preserve">BTES was found very sensitive to flow rate, the charging period and injection temperature. Well depth has minimal effect at constant injection temperature. </w:t>
      </w:r>
    </w:p>
    <w:p w14:paraId="7AC13DC2" w14:textId="77777777" w:rsidR="00EA1543" w:rsidRDefault="00EA1543">
      <w:pPr>
        <w:jc w:val="both"/>
        <w:rPr>
          <w:rFonts w:ascii="Times New Roman" w:eastAsia="Times New Roman" w:hAnsi="Times New Roman" w:cs="Times New Roman"/>
        </w:rPr>
      </w:pPr>
    </w:p>
    <w:p w14:paraId="7AC13DC3" w14:textId="77777777" w:rsidR="00EA1543" w:rsidRDefault="00EA1543">
      <w:pPr>
        <w:jc w:val="both"/>
        <w:rPr>
          <w:rFonts w:ascii="Times New Roman" w:eastAsia="Times New Roman" w:hAnsi="Times New Roman" w:cs="Times New Roman"/>
        </w:rPr>
      </w:pPr>
    </w:p>
    <w:p w14:paraId="7AC13DC4" w14:textId="77777777" w:rsidR="00EA1543" w:rsidRDefault="00EA1543">
      <w:pPr>
        <w:jc w:val="both"/>
        <w:rPr>
          <w:rFonts w:ascii="Times New Roman" w:eastAsia="Times New Roman" w:hAnsi="Times New Roman" w:cs="Times New Roman"/>
        </w:rPr>
      </w:pPr>
    </w:p>
    <w:p w14:paraId="7AC13DC5" w14:textId="77777777" w:rsidR="00EA1543" w:rsidRDefault="00EA1543">
      <w:pPr>
        <w:ind w:left="720"/>
        <w:jc w:val="both"/>
        <w:rPr>
          <w:rFonts w:ascii="Times New Roman" w:eastAsia="Times New Roman" w:hAnsi="Times New Roman" w:cs="Times New Roman"/>
          <w:b/>
          <w:smallCaps/>
        </w:rPr>
      </w:pPr>
    </w:p>
    <w:p w14:paraId="7AC13DC6" w14:textId="77777777" w:rsidR="00EA1543" w:rsidRDefault="00ED5B14">
      <w:pPr>
        <w:spacing w:after="180"/>
        <w:jc w:val="both"/>
        <w:rPr>
          <w:rFonts w:ascii="Times New Roman" w:eastAsia="Times New Roman" w:hAnsi="Times New Roman" w:cs="Times New Roman"/>
          <w:b/>
          <w:smallCaps/>
          <w:sz w:val="18"/>
          <w:szCs w:val="18"/>
        </w:rPr>
      </w:pPr>
      <w:r>
        <w:rPr>
          <w:rFonts w:ascii="Times New Roman" w:eastAsia="Times New Roman" w:hAnsi="Times New Roman" w:cs="Times New Roman"/>
          <w:b/>
          <w:smallCaps/>
          <w:sz w:val="18"/>
          <w:szCs w:val="18"/>
        </w:rPr>
        <w:t>ACKNOWLEDGEMENTS (OPTIONAL)</w:t>
      </w:r>
    </w:p>
    <w:p w14:paraId="7AC13DC7" w14:textId="77777777" w:rsidR="00EA1543" w:rsidRDefault="00ED5B14">
      <w:pPr>
        <w:spacing w:after="180"/>
        <w:jc w:val="both"/>
        <w:rPr>
          <w:rFonts w:ascii="Times New Roman" w:eastAsia="Times New Roman" w:hAnsi="Times New Roman" w:cs="Times New Roman"/>
          <w:sz w:val="21"/>
          <w:szCs w:val="21"/>
        </w:rPr>
      </w:pPr>
      <w:r>
        <w:rPr>
          <w:rFonts w:ascii="Times New Roman" w:eastAsia="Times New Roman" w:hAnsi="Times New Roman" w:cs="Times New Roman"/>
        </w:rPr>
        <w:t>We acknowledge POLNOR grand for funding the project. We are indebted to the staff of the department of energy and petroleum engineering (IEP) at the University of Stavanger and for allowing us to present this paper.</w:t>
      </w:r>
    </w:p>
    <w:p w14:paraId="7AC13DC8" w14:textId="77777777" w:rsidR="00EA1543" w:rsidRDefault="00ED5B14">
      <w:pPr>
        <w:pBdr>
          <w:top w:val="nil"/>
          <w:left w:val="nil"/>
          <w:bottom w:val="nil"/>
          <w:right w:val="nil"/>
          <w:between w:val="nil"/>
        </w:pBdr>
        <w:spacing w:before="240"/>
        <w:rPr>
          <w:b/>
          <w:color w:val="000000"/>
        </w:rPr>
      </w:pPr>
      <w:r>
        <w:rPr>
          <w:b/>
          <w:color w:val="000000"/>
        </w:rPr>
        <w:t xml:space="preserve">References   </w:t>
      </w:r>
    </w:p>
    <w:p w14:paraId="7AC13DC9" w14:textId="77777777" w:rsidR="00EA1543" w:rsidRDefault="00ED5B14">
      <w:pPr>
        <w:pBdr>
          <w:top w:val="nil"/>
          <w:left w:val="nil"/>
          <w:bottom w:val="nil"/>
          <w:right w:val="nil"/>
          <w:between w:val="nil"/>
        </w:pBdr>
        <w:spacing w:before="240"/>
        <w:ind w:left="425" w:hanging="425"/>
        <w:jc w:val="both"/>
        <w:rPr>
          <w:rFonts w:ascii="Times New Roman" w:eastAsia="Times New Roman" w:hAnsi="Times New Roman" w:cs="Times New Roman"/>
          <w:sz w:val="21"/>
          <w:szCs w:val="21"/>
        </w:rPr>
      </w:pPr>
      <w:r>
        <w:rPr>
          <w:b/>
        </w:rPr>
        <w:t xml:space="preserve">[1] </w:t>
      </w:r>
      <w:r>
        <w:rPr>
          <w:rFonts w:ascii="Times New Roman" w:eastAsia="Times New Roman" w:hAnsi="Times New Roman" w:cs="Times New Roman"/>
          <w:sz w:val="21"/>
          <w:szCs w:val="21"/>
        </w:rPr>
        <w:t xml:space="preserve">Norwegian Ministry of Climate and Environment, 2021, ‘Norway’s Climate Action Plan  for 2021–2030 available: </w:t>
      </w:r>
      <w:hyperlink r:id="rId30">
        <w:r>
          <w:rPr>
            <w:rFonts w:ascii="Times New Roman" w:eastAsia="Times New Roman" w:hAnsi="Times New Roman" w:cs="Times New Roman"/>
            <w:sz w:val="21"/>
            <w:szCs w:val="21"/>
          </w:rPr>
          <w:t>Meld St. 13 (2020–2021) (regjeringen.no)</w:t>
        </w:r>
      </w:hyperlink>
    </w:p>
    <w:p w14:paraId="7AC13DCA" w14:textId="77777777" w:rsidR="00EA1543" w:rsidRDefault="00ED5B14">
      <w:pPr>
        <w:spacing w:after="160" w:line="259" w:lineRule="auto"/>
        <w:ind w:left="283" w:hanging="283"/>
        <w:rPr>
          <w:rFonts w:ascii="SohoGothic" w:eastAsia="SohoGothic" w:hAnsi="SohoGothic" w:cs="SohoGothic"/>
          <w:sz w:val="21"/>
          <w:szCs w:val="21"/>
        </w:rPr>
      </w:pPr>
      <w:r>
        <w:rPr>
          <w:b/>
        </w:rPr>
        <w:t xml:space="preserve">[2]   </w:t>
      </w:r>
      <w:hyperlink r:id="rId31">
        <w:r>
          <w:rPr>
            <w:rFonts w:ascii="Times New Roman" w:eastAsia="Times New Roman" w:hAnsi="Times New Roman" w:cs="Times New Roman"/>
            <w:sz w:val="21"/>
            <w:szCs w:val="21"/>
          </w:rPr>
          <w:t>Norway’s new climate target: emissions to be cut by at least 55 % - regjeringen.no</w:t>
        </w:r>
      </w:hyperlink>
    </w:p>
    <w:p w14:paraId="7AC13DCB" w14:textId="77777777" w:rsidR="00EA1543" w:rsidRDefault="00ED5B14">
      <w:pPr>
        <w:spacing w:after="160" w:line="259" w:lineRule="auto"/>
        <w:ind w:left="283" w:hanging="283"/>
        <w:rPr>
          <w:rFonts w:ascii="Times New Roman" w:eastAsia="Times New Roman" w:hAnsi="Times New Roman" w:cs="Times New Roman"/>
          <w:sz w:val="21"/>
          <w:szCs w:val="21"/>
        </w:rPr>
      </w:pPr>
      <w:r>
        <w:rPr>
          <w:b/>
        </w:rPr>
        <w:lastRenderedPageBreak/>
        <w:t>[3]</w:t>
      </w:r>
      <w:r>
        <w:rPr>
          <w:rFonts w:ascii="Times New Roman" w:eastAsia="Times New Roman" w:hAnsi="Times New Roman" w:cs="Times New Roman"/>
          <w:b/>
          <w:sz w:val="21"/>
          <w:szCs w:val="21"/>
        </w:rPr>
        <w:t xml:space="preserve">   </w:t>
      </w:r>
      <w:r>
        <w:rPr>
          <w:rFonts w:ascii="Times New Roman" w:eastAsia="Times New Roman" w:hAnsi="Times New Roman" w:cs="Times New Roman"/>
          <w:sz w:val="21"/>
          <w:szCs w:val="21"/>
        </w:rPr>
        <w:t xml:space="preserve">ENERGY TRANSITION NORWAY 2021, Available: </w:t>
      </w:r>
      <w:hyperlink r:id="rId32">
        <w:r>
          <w:rPr>
            <w:rFonts w:ascii="Times New Roman" w:eastAsia="Times New Roman" w:hAnsi="Times New Roman" w:cs="Times New Roman"/>
            <w:sz w:val="21"/>
            <w:szCs w:val="21"/>
          </w:rPr>
          <w:t>Energy Transition Norway 2021 DNV</w:t>
        </w:r>
      </w:hyperlink>
      <w:r>
        <w:rPr>
          <w:rFonts w:ascii="Times New Roman" w:eastAsia="Times New Roman" w:hAnsi="Times New Roman" w:cs="Times New Roman"/>
          <w:sz w:val="21"/>
          <w:szCs w:val="21"/>
        </w:rPr>
        <w:t xml:space="preserve"> </w:t>
      </w:r>
    </w:p>
    <w:p w14:paraId="7AC13DCC" w14:textId="77777777" w:rsidR="00EA1543" w:rsidRDefault="00ED5B14">
      <w:pPr>
        <w:widowControl w:val="0"/>
        <w:tabs>
          <w:tab w:val="left" w:pos="997"/>
        </w:tabs>
        <w:ind w:left="425" w:hanging="425"/>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[4</w:t>
      </w:r>
      <w:proofErr w:type="gramStart"/>
      <w:r>
        <w:rPr>
          <w:rFonts w:ascii="Times New Roman" w:eastAsia="Times New Roman" w:hAnsi="Times New Roman" w:cs="Times New Roman"/>
          <w:b/>
          <w:sz w:val="21"/>
          <w:szCs w:val="21"/>
        </w:rPr>
        <w:t xml:space="preserve">]  </w:t>
      </w:r>
      <w:r>
        <w:rPr>
          <w:rFonts w:ascii="Times New Roman" w:eastAsia="Times New Roman" w:hAnsi="Times New Roman" w:cs="Times New Roman"/>
          <w:sz w:val="21"/>
          <w:szCs w:val="21"/>
        </w:rPr>
        <w:t>Blackridge</w:t>
      </w:r>
      <w:proofErr w:type="gramEnd"/>
      <w:r>
        <w:rPr>
          <w:rFonts w:ascii="Times New Roman" w:eastAsia="Times New Roman" w:hAnsi="Times New Roman" w:cs="Times New Roman"/>
          <w:sz w:val="21"/>
          <w:szCs w:val="21"/>
        </w:rPr>
        <w:t xml:space="preserve"> research and consulting, Norway solar power market outlook to 2028. Available:  </w:t>
      </w:r>
      <w:hyperlink r:id="rId33">
        <w:r>
          <w:rPr>
            <w:rFonts w:ascii="Times New Roman" w:eastAsia="Times New Roman" w:hAnsi="Times New Roman" w:cs="Times New Roman"/>
            <w:sz w:val="21"/>
            <w:szCs w:val="21"/>
          </w:rPr>
          <w:t>Norway Solar Power Market Outlook | Blackridge Research &amp; Consulting</w:t>
        </w:r>
      </w:hyperlink>
    </w:p>
    <w:p w14:paraId="7AC13DCD" w14:textId="77777777" w:rsidR="00EA1543" w:rsidRDefault="00ED5B14">
      <w:pPr>
        <w:widowControl w:val="0"/>
        <w:tabs>
          <w:tab w:val="left" w:pos="427"/>
        </w:tabs>
        <w:ind w:left="425" w:hanging="425"/>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[5</w:t>
      </w:r>
      <w:proofErr w:type="gramStart"/>
      <w:r>
        <w:rPr>
          <w:rFonts w:ascii="Times New Roman" w:eastAsia="Times New Roman" w:hAnsi="Times New Roman" w:cs="Times New Roman"/>
          <w:b/>
          <w:sz w:val="21"/>
          <w:szCs w:val="21"/>
        </w:rPr>
        <w:t xml:space="preserve">]  </w:t>
      </w:r>
      <w:r>
        <w:rPr>
          <w:rFonts w:ascii="Times New Roman" w:eastAsia="Times New Roman" w:hAnsi="Times New Roman" w:cs="Times New Roman"/>
          <w:sz w:val="21"/>
          <w:szCs w:val="21"/>
        </w:rPr>
        <w:t>Welsch</w:t>
      </w:r>
      <w:proofErr w:type="gramEnd"/>
      <w:r>
        <w:rPr>
          <w:rFonts w:ascii="Times New Roman" w:eastAsia="Times New Roman" w:hAnsi="Times New Roman" w:cs="Times New Roman"/>
          <w:sz w:val="21"/>
          <w:szCs w:val="21"/>
        </w:rPr>
        <w:t>, B., Göllner-Völker, L., Schulte, D.O., Bär, K., Sass, I. and Schebek, L., 2018, Environmental  and economic assessment of borehole thermal energy storage in district heating systems. Applied energy, 216, pp.73-90.</w:t>
      </w:r>
    </w:p>
    <w:p w14:paraId="7AC13DCE" w14:textId="77777777" w:rsidR="00EA1543" w:rsidRDefault="00ED5B14">
      <w:pPr>
        <w:widowControl w:val="0"/>
        <w:pBdr>
          <w:top w:val="nil"/>
          <w:left w:val="nil"/>
          <w:bottom w:val="nil"/>
          <w:right w:val="nil"/>
          <w:between w:val="nil"/>
        </w:pBdr>
        <w:tabs>
          <w:tab w:val="left" w:pos="547"/>
        </w:tabs>
        <w:ind w:left="425" w:hanging="425"/>
        <w:jc w:val="both"/>
        <w:rPr>
          <w:rFonts w:ascii="SohoGothic" w:eastAsia="SohoGothic" w:hAnsi="SohoGothic" w:cs="SohoGothic"/>
          <w:sz w:val="21"/>
          <w:szCs w:val="21"/>
        </w:rPr>
      </w:pPr>
      <w:r>
        <w:rPr>
          <w:b/>
        </w:rPr>
        <w:t>[6</w:t>
      </w:r>
      <w:proofErr w:type="gramStart"/>
      <w:r>
        <w:rPr>
          <w:b/>
        </w:rPr>
        <w:t xml:space="preserve">]  </w:t>
      </w:r>
      <w:r>
        <w:rPr>
          <w:rFonts w:ascii="Times New Roman" w:eastAsia="Times New Roman" w:hAnsi="Times New Roman" w:cs="Times New Roman"/>
          <w:sz w:val="21"/>
          <w:szCs w:val="21"/>
        </w:rPr>
        <w:t>Rad</w:t>
      </w:r>
      <w:proofErr w:type="gramEnd"/>
      <w:r>
        <w:rPr>
          <w:rFonts w:ascii="Times New Roman" w:eastAsia="Times New Roman" w:hAnsi="Times New Roman" w:cs="Times New Roman"/>
          <w:sz w:val="21"/>
          <w:szCs w:val="21"/>
        </w:rPr>
        <w:t xml:space="preserve">, F.M., Fung, A.S. and Rosen, M.A., 2017. An integrated model for designing a solar community heating system with borehole thermal storage. Energy for sustainable </w:t>
      </w:r>
      <w:r>
        <w:rPr>
          <w:rFonts w:ascii="SohoGothic" w:eastAsia="SohoGothic" w:hAnsi="SohoGothic" w:cs="SohoGothic"/>
          <w:sz w:val="21"/>
          <w:szCs w:val="21"/>
        </w:rPr>
        <w:t>development, 36, pp.6-15.</w:t>
      </w:r>
    </w:p>
    <w:p w14:paraId="7AC13DCF" w14:textId="77777777" w:rsidR="00EA1543" w:rsidRDefault="00ED5B14">
      <w:pPr>
        <w:widowControl w:val="0"/>
        <w:pBdr>
          <w:top w:val="nil"/>
          <w:left w:val="nil"/>
          <w:bottom w:val="nil"/>
          <w:right w:val="nil"/>
          <w:between w:val="nil"/>
        </w:pBdr>
        <w:tabs>
          <w:tab w:val="left" w:pos="567"/>
        </w:tabs>
        <w:ind w:left="425" w:hanging="425"/>
        <w:jc w:val="both"/>
        <w:rPr>
          <w:rFonts w:ascii="Times New Roman" w:eastAsia="Times New Roman" w:hAnsi="Times New Roman" w:cs="Times New Roman"/>
          <w:sz w:val="21"/>
          <w:szCs w:val="21"/>
        </w:rPr>
      </w:pPr>
      <w:r>
        <w:rPr>
          <w:b/>
        </w:rPr>
        <w:t>[7</w:t>
      </w:r>
      <w:proofErr w:type="gramStart"/>
      <w:r>
        <w:rPr>
          <w:b/>
        </w:rPr>
        <w:t xml:space="preserve">]  </w:t>
      </w:r>
      <w:r>
        <w:rPr>
          <w:rFonts w:ascii="Times New Roman" w:eastAsia="Times New Roman" w:hAnsi="Times New Roman" w:cs="Times New Roman"/>
          <w:sz w:val="21"/>
          <w:szCs w:val="21"/>
        </w:rPr>
        <w:t>Rapantova</w:t>
      </w:r>
      <w:proofErr w:type="gramEnd"/>
      <w:r>
        <w:rPr>
          <w:rFonts w:ascii="Times New Roman" w:eastAsia="Times New Roman" w:hAnsi="Times New Roman" w:cs="Times New Roman"/>
          <w:sz w:val="21"/>
          <w:szCs w:val="21"/>
        </w:rPr>
        <w:t>, N., Pospisil, P., Koziorek, J., Vojcinak, P., Grycz, D. and Rozehnal, Z., 2016. Optimisation of experimental operation of borehole thermal energy storage. Applied Energy, 181, pp.464-476.</w:t>
      </w:r>
    </w:p>
    <w:p w14:paraId="7AC13DD0" w14:textId="77777777" w:rsidR="00EA1543" w:rsidRDefault="00ED5B14">
      <w:pPr>
        <w:widowControl w:val="0"/>
        <w:pBdr>
          <w:top w:val="nil"/>
          <w:left w:val="nil"/>
          <w:bottom w:val="nil"/>
          <w:right w:val="nil"/>
          <w:between w:val="nil"/>
        </w:pBdr>
        <w:tabs>
          <w:tab w:val="left" w:pos="567"/>
        </w:tabs>
        <w:ind w:left="425" w:hanging="425"/>
        <w:jc w:val="both"/>
        <w:rPr>
          <w:rFonts w:ascii="Times New Roman" w:eastAsia="Times New Roman" w:hAnsi="Times New Roman" w:cs="Times New Roman"/>
          <w:sz w:val="21"/>
          <w:szCs w:val="21"/>
        </w:rPr>
      </w:pPr>
      <w:r>
        <w:rPr>
          <w:b/>
        </w:rPr>
        <w:t>[8</w:t>
      </w:r>
      <w:proofErr w:type="gramStart"/>
      <w:r>
        <w:rPr>
          <w:b/>
        </w:rPr>
        <w:t xml:space="preserve">]  </w:t>
      </w:r>
      <w:r>
        <w:rPr>
          <w:rFonts w:ascii="Times New Roman" w:eastAsia="Times New Roman" w:hAnsi="Times New Roman" w:cs="Times New Roman"/>
          <w:sz w:val="21"/>
          <w:szCs w:val="21"/>
        </w:rPr>
        <w:t>Chapuis</w:t>
      </w:r>
      <w:proofErr w:type="gramEnd"/>
      <w:r>
        <w:rPr>
          <w:rFonts w:ascii="Times New Roman" w:eastAsia="Times New Roman" w:hAnsi="Times New Roman" w:cs="Times New Roman"/>
          <w:sz w:val="21"/>
          <w:szCs w:val="21"/>
        </w:rPr>
        <w:t>, S. and Bernier, M., 2009. Seasonal storage of solar energy in borehole heat exchangers.</w:t>
      </w:r>
    </w:p>
    <w:p w14:paraId="7AC13DD1" w14:textId="77777777" w:rsidR="00EA1543" w:rsidRDefault="00ED5B14">
      <w:pPr>
        <w:widowControl w:val="0"/>
        <w:pBdr>
          <w:top w:val="nil"/>
          <w:left w:val="nil"/>
          <w:bottom w:val="nil"/>
          <w:right w:val="nil"/>
          <w:between w:val="nil"/>
        </w:pBdr>
        <w:tabs>
          <w:tab w:val="left" w:pos="567"/>
        </w:tabs>
        <w:ind w:left="425" w:hanging="425"/>
        <w:jc w:val="both"/>
        <w:rPr>
          <w:rFonts w:ascii="Times New Roman" w:eastAsia="Times New Roman" w:hAnsi="Times New Roman" w:cs="Times New Roman"/>
          <w:sz w:val="21"/>
          <w:szCs w:val="21"/>
        </w:rPr>
      </w:pPr>
      <w:r>
        <w:rPr>
          <w:b/>
        </w:rPr>
        <w:t>[9</w:t>
      </w:r>
      <w:proofErr w:type="gramStart"/>
      <w:r>
        <w:rPr>
          <w:b/>
        </w:rPr>
        <w:t xml:space="preserve">]  </w:t>
      </w:r>
      <w:r>
        <w:rPr>
          <w:rFonts w:ascii="Times New Roman" w:eastAsia="Times New Roman" w:hAnsi="Times New Roman" w:cs="Times New Roman"/>
          <w:sz w:val="21"/>
          <w:szCs w:val="21"/>
        </w:rPr>
        <w:t>Jokiel</w:t>
      </w:r>
      <w:proofErr w:type="gramEnd"/>
      <w:r>
        <w:rPr>
          <w:rFonts w:ascii="Times New Roman" w:eastAsia="Times New Roman" w:hAnsi="Times New Roman" w:cs="Times New Roman"/>
          <w:sz w:val="21"/>
          <w:szCs w:val="21"/>
        </w:rPr>
        <w:t>, M., Rohde, D., Kauko, H. and Walnum, H.T., 2020. Integration of a high-temperature borehole thermal energy storage in a local heating grid for a neighborhood. In International Conference Organised by IBPSA-Nordic, 13th–14th October 2020, OsloMet. BuildSIM-Nordic 2020. Selected papers. SINTEF Academic Press.</w:t>
      </w:r>
    </w:p>
    <w:p w14:paraId="75208F11" w14:textId="0B672ADC" w:rsidR="006F2657" w:rsidRPr="00B82889" w:rsidRDefault="00ED5B14" w:rsidP="00B82889">
      <w:pPr>
        <w:widowControl w:val="0"/>
        <w:pBdr>
          <w:top w:val="nil"/>
          <w:left w:val="nil"/>
          <w:bottom w:val="nil"/>
          <w:right w:val="nil"/>
          <w:between w:val="nil"/>
        </w:pBdr>
        <w:tabs>
          <w:tab w:val="left" w:pos="567"/>
        </w:tabs>
        <w:ind w:left="425" w:hanging="425"/>
        <w:jc w:val="both"/>
        <w:rPr>
          <w:rFonts w:ascii="SohoGothic" w:eastAsia="SohoGothic" w:hAnsi="SohoGothic" w:cs="SohoGothic"/>
          <w:sz w:val="21"/>
          <w:szCs w:val="21"/>
        </w:rPr>
      </w:pPr>
      <w:r>
        <w:rPr>
          <w:b/>
        </w:rPr>
        <w:t xml:space="preserve">[10] </w:t>
      </w:r>
      <w:r>
        <w:rPr>
          <w:rFonts w:ascii="Times New Roman" w:eastAsia="Times New Roman" w:hAnsi="Times New Roman" w:cs="Times New Roman"/>
          <w:sz w:val="21"/>
          <w:szCs w:val="21"/>
        </w:rPr>
        <w:t xml:space="preserve">Midttomme, k., 2022. Borehole Thermal Energy Storage (BTES) – development of high temperature BTES. Norce Norwageian Research </w:t>
      </w:r>
      <w:r>
        <w:rPr>
          <w:rFonts w:ascii="SohoGothic" w:eastAsia="SohoGothic" w:hAnsi="SohoGothic" w:cs="SohoGothic"/>
          <w:sz w:val="21"/>
          <w:szCs w:val="21"/>
        </w:rPr>
        <w:t>Centre.</w:t>
      </w:r>
    </w:p>
    <w:p w14:paraId="6FB7FD77" w14:textId="77777777" w:rsidR="006F2657" w:rsidRDefault="006F2657"/>
    <w:p w14:paraId="57B20B24" w14:textId="77777777" w:rsidR="006F2657" w:rsidRDefault="006F2657"/>
    <w:p w14:paraId="29F0C65C" w14:textId="77777777" w:rsidR="006F2657" w:rsidRDefault="006F2657"/>
    <w:p w14:paraId="4F9A66C2" w14:textId="77777777" w:rsidR="006F2657" w:rsidRDefault="006F2657"/>
    <w:p w14:paraId="48235B46" w14:textId="77777777" w:rsidR="006F2657" w:rsidRDefault="006F2657"/>
    <w:p w14:paraId="0AFD474C" w14:textId="77777777" w:rsidR="006F2657" w:rsidRDefault="006F2657"/>
    <w:p w14:paraId="1C0108FF" w14:textId="77777777" w:rsidR="006F2657" w:rsidRDefault="006F2657"/>
    <w:p w14:paraId="4536DADC" w14:textId="77777777" w:rsidR="006F2657" w:rsidRDefault="006F2657"/>
    <w:sectPr w:rsidR="006F2657">
      <w:headerReference w:type="even" r:id="rId34"/>
      <w:headerReference w:type="default" r:id="rId35"/>
      <w:pgSz w:w="11907" w:h="16840"/>
      <w:pgMar w:top="2268" w:right="1418" w:bottom="1531" w:left="141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13E33" w14:textId="77777777" w:rsidR="00ED5B14" w:rsidRDefault="00ED5B14">
      <w:r>
        <w:separator/>
      </w:r>
    </w:p>
  </w:endnote>
  <w:endnote w:type="continuationSeparator" w:id="0">
    <w:p w14:paraId="7AC13E35" w14:textId="77777777" w:rsidR="00ED5B14" w:rsidRDefault="00ED5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dvGulliv-R">
    <w:altName w:val="Calibri"/>
    <w:charset w:val="00"/>
    <w:family w:val="auto"/>
    <w:pitch w:val="default"/>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ohoGothic">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13E2F" w14:textId="77777777" w:rsidR="00ED5B14" w:rsidRDefault="00ED5B14">
      <w:r>
        <w:separator/>
      </w:r>
    </w:p>
  </w:footnote>
  <w:footnote w:type="continuationSeparator" w:id="0">
    <w:p w14:paraId="7AC13E31" w14:textId="77777777" w:rsidR="00ED5B14" w:rsidRDefault="00ED5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3E28" w14:textId="77777777" w:rsidR="00EA1543" w:rsidRDefault="00EA15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3E29" w14:textId="77777777" w:rsidR="00EA1543" w:rsidRDefault="00EA1543"/>
  <w:p w14:paraId="7AC13E2A" w14:textId="77777777" w:rsidR="00EA1543" w:rsidRDefault="00EA1543"/>
  <w:p w14:paraId="7AC13E2B" w14:textId="77777777" w:rsidR="00EA1543" w:rsidRDefault="00EA1543"/>
  <w:p w14:paraId="7AC13E2C" w14:textId="77777777" w:rsidR="00EA1543" w:rsidRDefault="00EA1543"/>
  <w:p w14:paraId="7AC13E2D" w14:textId="77777777" w:rsidR="00EA1543" w:rsidRDefault="00EA1543"/>
  <w:p w14:paraId="7AC13E2E" w14:textId="77777777" w:rsidR="00EA1543" w:rsidRDefault="00EA15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059EC"/>
    <w:multiLevelType w:val="multilevel"/>
    <w:tmpl w:val="0D364564"/>
    <w:lvl w:ilvl="0">
      <w:start w:val="1"/>
      <w:numFmt w:val="decimal"/>
      <w:pStyle w:val="Bulleted"/>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2510649"/>
    <w:multiLevelType w:val="multilevel"/>
    <w:tmpl w:val="C3505BA6"/>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2" w15:restartNumberingAfterBreak="0">
    <w:nsid w:val="7BB22F4E"/>
    <w:multiLevelType w:val="multilevel"/>
    <w:tmpl w:val="E7A4339E"/>
    <w:lvl w:ilvl="0">
      <w:start w:val="1"/>
      <w:numFmt w:val="decimal"/>
      <w:pStyle w:val="Section"/>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DE45E4B"/>
    <w:multiLevelType w:val="hybridMultilevel"/>
    <w:tmpl w:val="3D58D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1273962">
    <w:abstractNumId w:val="1"/>
  </w:num>
  <w:num w:numId="2" w16cid:durableId="1568808173">
    <w:abstractNumId w:val="0"/>
  </w:num>
  <w:num w:numId="3" w16cid:durableId="1035617682">
    <w:abstractNumId w:val="2"/>
  </w:num>
  <w:num w:numId="4" w16cid:durableId="9761083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92879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09697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543"/>
    <w:rsid w:val="00076FD4"/>
    <w:rsid w:val="000C574B"/>
    <w:rsid w:val="0010340A"/>
    <w:rsid w:val="0017522A"/>
    <w:rsid w:val="00195C16"/>
    <w:rsid w:val="00195D20"/>
    <w:rsid w:val="003922E9"/>
    <w:rsid w:val="003F33EB"/>
    <w:rsid w:val="00474F71"/>
    <w:rsid w:val="004C7312"/>
    <w:rsid w:val="004F578B"/>
    <w:rsid w:val="006641B7"/>
    <w:rsid w:val="00691EDE"/>
    <w:rsid w:val="006F2657"/>
    <w:rsid w:val="007661AA"/>
    <w:rsid w:val="008B242D"/>
    <w:rsid w:val="008B54EF"/>
    <w:rsid w:val="00907C8D"/>
    <w:rsid w:val="00954AE7"/>
    <w:rsid w:val="009B7AC4"/>
    <w:rsid w:val="00A011E1"/>
    <w:rsid w:val="00A15793"/>
    <w:rsid w:val="00A53C99"/>
    <w:rsid w:val="00AA6FF7"/>
    <w:rsid w:val="00AA7B03"/>
    <w:rsid w:val="00B14E53"/>
    <w:rsid w:val="00B81E1F"/>
    <w:rsid w:val="00B82889"/>
    <w:rsid w:val="00CA74A1"/>
    <w:rsid w:val="00CD4168"/>
    <w:rsid w:val="00CD6397"/>
    <w:rsid w:val="00D33D17"/>
    <w:rsid w:val="00D407B0"/>
    <w:rsid w:val="00D739CE"/>
    <w:rsid w:val="00DD0681"/>
    <w:rsid w:val="00E66DFD"/>
    <w:rsid w:val="00EA1543"/>
    <w:rsid w:val="00ED5B14"/>
    <w:rsid w:val="00F3519C"/>
    <w:rsid w:val="00FE0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13D1B"/>
  <w15:docId w15:val="{1832AE2E-F156-439D-BA93-9DBD07778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7DC"/>
  </w:style>
  <w:style w:type="paragraph" w:styleId="Heading1">
    <w:name w:val="heading 1"/>
    <w:basedOn w:val="Normal"/>
    <w:next w:val="Normal"/>
    <w:uiPriority w:val="9"/>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0"/>
    <w:next w:val="Normal"/>
    <w:uiPriority w:val="9"/>
    <w:unhideWhenUsed/>
    <w:qFormat/>
    <w:rsid w:val="00733CB3"/>
    <w:pPr>
      <w:outlineLvl w:val="1"/>
    </w:pPr>
    <w:rPr>
      <w:i/>
    </w:rPr>
  </w:style>
  <w:style w:type="paragraph" w:styleId="Heading3">
    <w:name w:val="heading 3"/>
    <w:basedOn w:val="Normal"/>
    <w:next w:val="Normal"/>
    <w:uiPriority w:val="9"/>
    <w:semiHidden/>
    <w:unhideWhenUsed/>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uiPriority w:val="9"/>
    <w:semiHidden/>
    <w:unhideWhenUsed/>
    <w:qFormat/>
    <w:pPr>
      <w:numPr>
        <w:ilvl w:val="4"/>
        <w:numId w:val="1"/>
      </w:numPr>
      <w:spacing w:before="240" w:after="60"/>
      <w:outlineLvl w:val="4"/>
    </w:pPr>
    <w:rPr>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Times New Roman" w:hAnsi="Times New Roman"/>
      <w:b/>
      <w:bCs/>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s"/>
    <w:uiPriority w:val="10"/>
    <w:qFormat/>
    <w:pPr>
      <w:spacing w:before="1588" w:after="567"/>
    </w:pPr>
    <w:rPr>
      <w:b/>
      <w:sz w:val="34"/>
      <w:szCs w:val="34"/>
    </w:rPr>
  </w:style>
  <w:style w:type="paragraph" w:customStyle="1" w:styleId="Subsubsection">
    <w:name w:val="Subsubsection"/>
    <w:next w:val="Bodytext"/>
    <w:link w:val="SubsubsectionChar"/>
    <w:pPr>
      <w:numPr>
        <w:ilvl w:val="2"/>
        <w:numId w:val="3"/>
      </w:numPr>
      <w:spacing w:before="240"/>
    </w:pPr>
    <w:rPr>
      <w:i/>
      <w:iCs/>
      <w:color w:val="000000"/>
    </w:rPr>
  </w:style>
  <w:style w:type="paragraph" w:customStyle="1" w:styleId="Bodytext">
    <w:name w:val="Bodytext"/>
    <w:next w:val="BodytextIndented"/>
    <w:pPr>
      <w:jc w:val="both"/>
    </w:pPr>
    <w:rPr>
      <w:iCs/>
      <w:color w:val="000000"/>
      <w:lang w:val="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b/>
      <w:iCs/>
      <w:color w:val="000000"/>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color w:val="000000"/>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0">
    <w:name w:val="Subsection"/>
    <w:next w:val="Bodytext"/>
    <w:pPr>
      <w:spacing w:before="240"/>
    </w:pPr>
    <w:rPr>
      <w:iCs/>
      <w:color w:val="000000"/>
    </w:rPr>
  </w:style>
  <w:style w:type="paragraph" w:customStyle="1" w:styleId="E-mail">
    <w:name w:val="E-mail"/>
    <w:next w:val="Abstract"/>
    <w:pPr>
      <w:spacing w:after="240"/>
      <w:ind w:left="1418"/>
    </w:pPr>
    <w:rPr>
      <w:noProof/>
      <w:lang w:val="en-US"/>
    </w:rPr>
  </w:style>
  <w:style w:type="paragraph" w:customStyle="1" w:styleId="Abstract">
    <w:name w:val="Abstract"/>
    <w:next w:val="Section"/>
    <w:pPr>
      <w:spacing w:after="454"/>
      <w:ind w:left="1418"/>
      <w:jc w:val="both"/>
    </w:pPr>
    <w:rPr>
      <w:color w:val="000000"/>
    </w:rPr>
  </w:style>
  <w:style w:type="paragraph" w:customStyle="1" w:styleId="Sectionnonumber">
    <w:name w:val="Section (no number)"/>
    <w:next w:val="Bodytext"/>
    <w:pPr>
      <w:spacing w:before="240"/>
    </w:pPr>
    <w:rPr>
      <w:b/>
      <w:iCs/>
      <w:color w:val="000000"/>
      <w:lang w:val="en-US"/>
    </w:rPr>
  </w:style>
  <w:style w:type="character" w:styleId="PageNumber">
    <w:name w:val="page number"/>
    <w:basedOn w:val="DefaultParagraphFont"/>
    <w:semiHidden/>
  </w:style>
  <w:style w:type="paragraph" w:customStyle="1" w:styleId="Authors">
    <w:name w:val="Authors"/>
    <w:next w:val="Addresses"/>
    <w:pPr>
      <w:spacing w:after="113"/>
      <w:ind w:left="1418"/>
    </w:pPr>
    <w:rPr>
      <w:b/>
    </w:rPr>
  </w:style>
  <w:style w:type="paragraph" w:customStyle="1" w:styleId="Addresses">
    <w:name w:val="Addresses"/>
    <w:next w:val="E-mail"/>
    <w:pPr>
      <w:spacing w:after="240"/>
      <w:ind w:left="1418"/>
    </w:pPr>
  </w:style>
  <w:style w:type="paragraph" w:customStyle="1" w:styleId="FigureCaption">
    <w:name w:val="FigureCaption"/>
    <w:pPr>
      <w:spacing w:before="170"/>
      <w:ind w:left="28"/>
      <w:jc w:val="center"/>
    </w:pPr>
    <w:rPr>
      <w:color w:val="000000"/>
    </w:rPr>
  </w:style>
  <w:style w:type="paragraph" w:customStyle="1" w:styleId="Referencenonumber">
    <w:name w:val="Reference (no number)"/>
    <w:basedOn w:val="Reference"/>
    <w:pPr>
      <w:tabs>
        <w:tab w:val="clear" w:pos="720"/>
      </w:tabs>
      <w:ind w:left="851" w:hanging="284"/>
    </w:pPr>
  </w:style>
  <w:style w:type="paragraph" w:customStyle="1" w:styleId="Reference">
    <w:name w:val="Reference"/>
    <w:pPr>
      <w:widowControl w:val="0"/>
      <w:tabs>
        <w:tab w:val="left" w:pos="567"/>
        <w:tab w:val="num" w:pos="720"/>
      </w:tabs>
      <w:ind w:left="720" w:hanging="720"/>
      <w:jc w:val="both"/>
    </w:pPr>
    <w:rPr>
      <w:iCs/>
      <w:noProof/>
      <w:color w:val="000000"/>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color w:val="000000"/>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color w:val="000000"/>
    </w:rPr>
  </w:style>
  <w:style w:type="paragraph" w:customStyle="1" w:styleId="TableCaptionCentred">
    <w:name w:val="Table.Caption.Centred"/>
    <w:basedOn w:val="Normal"/>
    <w:autoRedefine/>
    <w:rsid w:val="00500048"/>
    <w:pPr>
      <w:spacing w:after="120"/>
      <w:jc w:val="center"/>
    </w:pPr>
    <w:rPr>
      <w:color w:val="000000"/>
    </w:rPr>
  </w:style>
  <w:style w:type="paragraph" w:customStyle="1" w:styleId="subsection">
    <w:name w:val="subsection"/>
    <w:rsid w:val="00500048"/>
    <w:pPr>
      <w:numPr>
        <w:ilvl w:val="1"/>
        <w:numId w:val="5"/>
      </w:numPr>
      <w:tabs>
        <w:tab w:val="left" w:pos="567"/>
      </w:tabs>
      <w:spacing w:before="240"/>
    </w:pPr>
    <w:rPr>
      <w:i/>
      <w:iCs/>
      <w:color w:val="000000"/>
      <w:lang w:val="en-US"/>
    </w:rPr>
  </w:style>
  <w:style w:type="character" w:customStyle="1" w:styleId="sectionChar">
    <w:name w:val="section Char"/>
    <w:link w:val="section0"/>
    <w:locked/>
    <w:rsid w:val="00500048"/>
    <w:rPr>
      <w:b/>
      <w:color w:val="000000"/>
      <w:lang w:eastAsia="en-US"/>
    </w:rPr>
  </w:style>
  <w:style w:type="paragraph" w:customStyle="1" w:styleId="section0">
    <w:name w:val="section"/>
    <w:link w:val="sectionChar"/>
    <w:autoRedefine/>
    <w:rsid w:val="00500048"/>
    <w:pPr>
      <w:tabs>
        <w:tab w:val="left" w:pos="567"/>
        <w:tab w:val="num" w:pos="720"/>
      </w:tabs>
      <w:spacing w:before="240"/>
      <w:ind w:left="720" w:hanging="720"/>
    </w:pPr>
    <w:rPr>
      <w:b/>
      <w:color w:val="000000"/>
    </w:rPr>
  </w:style>
  <w:style w:type="paragraph" w:customStyle="1" w:styleId="subsubsection0">
    <w:name w:val="subsubsection"/>
    <w:link w:val="subsubsectionChar0"/>
    <w:autoRedefine/>
    <w:rsid w:val="00500048"/>
    <w:pPr>
      <w:tabs>
        <w:tab w:val="left" w:pos="567"/>
        <w:tab w:val="num" w:pos="2160"/>
      </w:tabs>
      <w:spacing w:before="240"/>
      <w:jc w:val="both"/>
    </w:pPr>
    <w:rPr>
      <w:i/>
      <w:iCs/>
      <w:color w:val="000000"/>
      <w:lang w:val="en-US"/>
    </w:rPr>
  </w:style>
  <w:style w:type="character" w:customStyle="1" w:styleId="subsubsectionChar0">
    <w:name w:val="subsubsection Char"/>
    <w:link w:val="subsubsection0"/>
    <w:locked/>
    <w:rsid w:val="00574960"/>
    <w:rPr>
      <w:i/>
      <w:iCs/>
      <w:color w:val="000000"/>
      <w:lang w:val="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tabs>
        <w:tab w:val="clear" w:pos="2160"/>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6F2657"/>
    <w:pPr>
      <w:ind w:left="720"/>
      <w:contextualSpacing/>
    </w:pPr>
  </w:style>
  <w:style w:type="table" w:styleId="TableGrid">
    <w:name w:val="Table Grid"/>
    <w:basedOn w:val="TableNormal"/>
    <w:uiPriority w:val="39"/>
    <w:rsid w:val="008B5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blackridgeresearch.com/reports/norway-solar-power-market"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ww.dnv.com/Publications/energy-transition-norway-2021-212201"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regjeringen.no/en/aktuelt/norways-new-climate-target-emissions-to-be-cut-by-at-least-55-/id294487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scirp.org/journal/PaperInformation.aspx?PaperID=76832" TargetMode="External"/><Relationship Id="rId27" Type="http://schemas.openxmlformats.org/officeDocument/2006/relationships/image" Target="media/image17.png"/><Relationship Id="rId30" Type="http://schemas.openxmlformats.org/officeDocument/2006/relationships/hyperlink" Target="https://www.regjeringen.no/contentassets/a78ecf5ad2344fa5ae4a394412ef8975/en-gb/pdfs/stm202020210013000engpdfs.pdf"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ahmedawadelseed\OneDrive%20-%20Wood%20PLC\Desktop\paper\Charging%20Time%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ahmedawadelseed\OneDrive%20-%20Wood%20PLC\Desktop\paper\Charging%20Time%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200400527968673E-2"/>
          <c:y val="4.5267489711934158E-2"/>
          <c:w val="0.77492858768376482"/>
          <c:h val="0.80080943585755482"/>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Sheet1!$C$6:$C$11</c:f>
              <c:numCache>
                <c:formatCode>General</c:formatCode>
                <c:ptCount val="6"/>
                <c:pt idx="0">
                  <c:v>3</c:v>
                </c:pt>
                <c:pt idx="1">
                  <c:v>6</c:v>
                </c:pt>
                <c:pt idx="2">
                  <c:v>9</c:v>
                </c:pt>
                <c:pt idx="3">
                  <c:v>12</c:v>
                </c:pt>
                <c:pt idx="4">
                  <c:v>15</c:v>
                </c:pt>
                <c:pt idx="5">
                  <c:v>18</c:v>
                </c:pt>
              </c:numCache>
            </c:numRef>
          </c:xVal>
          <c:yVal>
            <c:numRef>
              <c:f>Sheet1!$D$6:$D$11</c:f>
              <c:numCache>
                <c:formatCode>General</c:formatCode>
                <c:ptCount val="6"/>
                <c:pt idx="0">
                  <c:v>32.299999999999997</c:v>
                </c:pt>
                <c:pt idx="1">
                  <c:v>45.4</c:v>
                </c:pt>
                <c:pt idx="2">
                  <c:v>52.2</c:v>
                </c:pt>
                <c:pt idx="3">
                  <c:v>55.9</c:v>
                </c:pt>
                <c:pt idx="4">
                  <c:v>57.8</c:v>
                </c:pt>
                <c:pt idx="5">
                  <c:v>58.7</c:v>
                </c:pt>
              </c:numCache>
            </c:numRef>
          </c:yVal>
          <c:smooth val="0"/>
          <c:extLst>
            <c:ext xmlns:c16="http://schemas.microsoft.com/office/drawing/2014/chart" uri="{C3380CC4-5D6E-409C-BE32-E72D297353CC}">
              <c16:uniqueId val="{00000001-1138-4FDC-8353-75CBA3DE1487}"/>
            </c:ext>
          </c:extLst>
        </c:ser>
        <c:dLbls>
          <c:showLegendKey val="0"/>
          <c:showVal val="0"/>
          <c:showCatName val="0"/>
          <c:showSerName val="0"/>
          <c:showPercent val="0"/>
          <c:showBubbleSize val="0"/>
        </c:dLbls>
        <c:axId val="147078032"/>
        <c:axId val="142869968"/>
      </c:scatterChart>
      <c:scatterChart>
        <c:scatterStyle val="lineMarker"/>
        <c:varyColors val="0"/>
        <c:ser>
          <c:idx val="1"/>
          <c:order val="1"/>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2"/>
            <c:dispRSqr val="0"/>
            <c:dispEq val="0"/>
          </c:trendline>
          <c:xVal>
            <c:numRef>
              <c:f>Sheet1!$C$6:$C$11</c:f>
              <c:numCache>
                <c:formatCode>General</c:formatCode>
                <c:ptCount val="6"/>
                <c:pt idx="0">
                  <c:v>3</c:v>
                </c:pt>
                <c:pt idx="1">
                  <c:v>6</c:v>
                </c:pt>
                <c:pt idx="2">
                  <c:v>9</c:v>
                </c:pt>
                <c:pt idx="3">
                  <c:v>12</c:v>
                </c:pt>
                <c:pt idx="4">
                  <c:v>15</c:v>
                </c:pt>
                <c:pt idx="5">
                  <c:v>18</c:v>
                </c:pt>
              </c:numCache>
            </c:numRef>
          </c:xVal>
          <c:yVal>
            <c:numRef>
              <c:f>Sheet1!$G$6:$G$11</c:f>
              <c:numCache>
                <c:formatCode>0%</c:formatCode>
                <c:ptCount val="6"/>
                <c:pt idx="0">
                  <c:v>0.20987654320987648</c:v>
                </c:pt>
                <c:pt idx="1">
                  <c:v>0.38770053475935828</c:v>
                </c:pt>
                <c:pt idx="2">
                  <c:v>0.43891402714932137</c:v>
                </c:pt>
                <c:pt idx="3">
                  <c:v>0.45929018789144049</c:v>
                </c:pt>
                <c:pt idx="4">
                  <c:v>0.46987951807228917</c:v>
                </c:pt>
                <c:pt idx="5">
                  <c:v>0.4674556213017752</c:v>
                </c:pt>
              </c:numCache>
            </c:numRef>
          </c:yVal>
          <c:smooth val="0"/>
          <c:extLst>
            <c:ext xmlns:c16="http://schemas.microsoft.com/office/drawing/2014/chart" uri="{C3380CC4-5D6E-409C-BE32-E72D297353CC}">
              <c16:uniqueId val="{00000003-1138-4FDC-8353-75CBA3DE1487}"/>
            </c:ext>
          </c:extLst>
        </c:ser>
        <c:dLbls>
          <c:showLegendKey val="0"/>
          <c:showVal val="0"/>
          <c:showCatName val="0"/>
          <c:showSerName val="0"/>
          <c:showPercent val="0"/>
          <c:showBubbleSize val="0"/>
        </c:dLbls>
        <c:axId val="324370112"/>
        <c:axId val="324369152"/>
      </c:scatterChart>
      <c:valAx>
        <c:axId val="147078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Charging Period, 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869968"/>
        <c:crosses val="autoZero"/>
        <c:crossBetween val="midCat"/>
      </c:valAx>
      <c:valAx>
        <c:axId val="14286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solidFill>
                    <a:latin typeface="+mn-lt"/>
                    <a:ea typeface="+mn-ea"/>
                    <a:cs typeface="+mn-cs"/>
                  </a:defRPr>
                </a:pPr>
                <a:r>
                  <a:rPr lang="nb-NO">
                    <a:solidFill>
                      <a:schemeClr val="accent1"/>
                    </a:solidFill>
                  </a:rPr>
                  <a:t>UTES Temperature, [</a:t>
                </a:r>
                <a:r>
                  <a:rPr lang="nb-NO">
                    <a:solidFill>
                      <a:schemeClr val="accent1"/>
                    </a:solidFill>
                    <a:latin typeface="Calibri" panose="020F0502020204030204" pitchFamily="34" charset="0"/>
                    <a:cs typeface="Calibri" panose="020F0502020204030204" pitchFamily="34" charset="0"/>
                  </a:rPr>
                  <a:t>ᵒ</a:t>
                </a:r>
                <a:r>
                  <a:rPr lang="nb-NO">
                    <a:solidFill>
                      <a:schemeClr val="accent1"/>
                    </a:solidFill>
                  </a:rPr>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accent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147078032"/>
        <c:crosses val="autoZero"/>
        <c:crossBetween val="midCat"/>
      </c:valAx>
      <c:valAx>
        <c:axId val="324369152"/>
        <c:scaling>
          <c:orientation val="minMax"/>
          <c:max val="1"/>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Extraction Efficiency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370112"/>
        <c:crosses val="max"/>
        <c:crossBetween val="midCat"/>
        <c:majorUnit val="0.2"/>
      </c:valAx>
      <c:valAx>
        <c:axId val="324370112"/>
        <c:scaling>
          <c:orientation val="minMax"/>
        </c:scaling>
        <c:delete val="1"/>
        <c:axPos val="b"/>
        <c:numFmt formatCode="General" sourceLinked="1"/>
        <c:majorTickMark val="out"/>
        <c:minorTickMark val="none"/>
        <c:tickLblPos val="nextTo"/>
        <c:crossAx val="3243691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0"/>
            <c:dispEq val="0"/>
          </c:trendline>
          <c:xVal>
            <c:numRef>
              <c:f>Temperature!$C$5:$C$9</c:f>
              <c:numCache>
                <c:formatCode>General</c:formatCode>
                <c:ptCount val="5"/>
                <c:pt idx="0">
                  <c:v>40</c:v>
                </c:pt>
                <c:pt idx="1">
                  <c:v>50</c:v>
                </c:pt>
                <c:pt idx="2">
                  <c:v>60</c:v>
                </c:pt>
                <c:pt idx="3">
                  <c:v>70</c:v>
                </c:pt>
                <c:pt idx="4">
                  <c:v>80</c:v>
                </c:pt>
              </c:numCache>
            </c:numRef>
          </c:xVal>
          <c:yVal>
            <c:numRef>
              <c:f>Temperature!$D$5:$D$9</c:f>
              <c:numCache>
                <c:formatCode>General</c:formatCode>
                <c:ptCount val="5"/>
                <c:pt idx="0">
                  <c:v>38.6</c:v>
                </c:pt>
                <c:pt idx="1">
                  <c:v>48.2</c:v>
                </c:pt>
                <c:pt idx="2">
                  <c:v>57.8</c:v>
                </c:pt>
                <c:pt idx="3">
                  <c:v>67</c:v>
                </c:pt>
                <c:pt idx="4">
                  <c:v>78</c:v>
                </c:pt>
              </c:numCache>
            </c:numRef>
          </c:yVal>
          <c:smooth val="0"/>
          <c:extLst>
            <c:ext xmlns:c16="http://schemas.microsoft.com/office/drawing/2014/chart" uri="{C3380CC4-5D6E-409C-BE32-E72D297353CC}">
              <c16:uniqueId val="{00000001-D9AD-47B2-923C-6745C2F729F0}"/>
            </c:ext>
          </c:extLst>
        </c:ser>
        <c:dLbls>
          <c:showLegendKey val="0"/>
          <c:showVal val="0"/>
          <c:showCatName val="0"/>
          <c:showSerName val="0"/>
          <c:showPercent val="0"/>
          <c:showBubbleSize val="0"/>
        </c:dLbls>
        <c:axId val="1890356047"/>
        <c:axId val="1335253071"/>
      </c:scatterChart>
      <c:scatterChart>
        <c:scatterStyle val="lineMarker"/>
        <c:varyColors val="0"/>
        <c:ser>
          <c:idx val="1"/>
          <c:order val="1"/>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og"/>
            <c:dispRSqr val="0"/>
            <c:dispEq val="0"/>
          </c:trendline>
          <c:xVal>
            <c:numRef>
              <c:f>Temperature!$C$5:$C$9</c:f>
              <c:numCache>
                <c:formatCode>General</c:formatCode>
                <c:ptCount val="5"/>
                <c:pt idx="0">
                  <c:v>40</c:v>
                </c:pt>
                <c:pt idx="1">
                  <c:v>50</c:v>
                </c:pt>
                <c:pt idx="2">
                  <c:v>60</c:v>
                </c:pt>
                <c:pt idx="3">
                  <c:v>70</c:v>
                </c:pt>
                <c:pt idx="4">
                  <c:v>80</c:v>
                </c:pt>
              </c:numCache>
            </c:numRef>
          </c:xVal>
          <c:yVal>
            <c:numRef>
              <c:f>Temperature!$H$5:$H$9</c:f>
              <c:numCache>
                <c:formatCode>0%</c:formatCode>
                <c:ptCount val="5"/>
                <c:pt idx="0">
                  <c:v>0.32026143790849676</c:v>
                </c:pt>
                <c:pt idx="1">
                  <c:v>0.41791044776119413</c:v>
                </c:pt>
                <c:pt idx="2">
                  <c:v>0.46987951807228917</c:v>
                </c:pt>
                <c:pt idx="3">
                  <c:v>0.50847457627118642</c:v>
                </c:pt>
                <c:pt idx="4">
                  <c:v>0.55285714285714294</c:v>
                </c:pt>
              </c:numCache>
            </c:numRef>
          </c:yVal>
          <c:smooth val="0"/>
          <c:extLst>
            <c:ext xmlns:c16="http://schemas.microsoft.com/office/drawing/2014/chart" uri="{C3380CC4-5D6E-409C-BE32-E72D297353CC}">
              <c16:uniqueId val="{00000003-D9AD-47B2-923C-6745C2F729F0}"/>
            </c:ext>
          </c:extLst>
        </c:ser>
        <c:dLbls>
          <c:showLegendKey val="0"/>
          <c:showVal val="0"/>
          <c:showCatName val="0"/>
          <c:showSerName val="0"/>
          <c:showPercent val="0"/>
          <c:showBubbleSize val="0"/>
        </c:dLbls>
        <c:axId val="1889556927"/>
        <c:axId val="1889581407"/>
      </c:scatterChart>
      <c:valAx>
        <c:axId val="1890356047"/>
        <c:scaling>
          <c:orientation val="minMax"/>
          <c:min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Injection Temperature,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253071"/>
        <c:crosses val="autoZero"/>
        <c:crossBetween val="midCat"/>
      </c:valAx>
      <c:valAx>
        <c:axId val="1335253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solidFill>
                    <a:latin typeface="+mn-lt"/>
                    <a:ea typeface="+mn-ea"/>
                    <a:cs typeface="+mn-cs"/>
                  </a:defRPr>
                </a:pPr>
                <a:r>
                  <a:rPr lang="nb-NO">
                    <a:solidFill>
                      <a:schemeClr val="accent1"/>
                    </a:solidFill>
                  </a:rPr>
                  <a:t>UTES</a:t>
                </a:r>
                <a:r>
                  <a:rPr lang="nb-NO" baseline="0">
                    <a:solidFill>
                      <a:schemeClr val="accent1"/>
                    </a:solidFill>
                  </a:rPr>
                  <a:t> </a:t>
                </a:r>
                <a:r>
                  <a:rPr lang="nb-NO">
                    <a:solidFill>
                      <a:schemeClr val="accent1"/>
                    </a:solidFill>
                  </a:rPr>
                  <a:t> Temperature, [C]</a:t>
                </a:r>
              </a:p>
            </c:rich>
          </c:tx>
          <c:overlay val="0"/>
          <c:spPr>
            <a:solidFill>
              <a:sysClr val="window" lastClr="FFFFFF"/>
            </a:solidFill>
            <a:ln>
              <a:noFill/>
            </a:ln>
            <a:effectLst/>
          </c:spPr>
          <c:txPr>
            <a:bodyPr rot="-5400000" spcFirstLastPara="1" vertOverflow="ellipsis" vert="horz" wrap="square" anchor="ctr" anchorCtr="1"/>
            <a:lstStyle/>
            <a:p>
              <a:pPr>
                <a:defRPr sz="1000" b="0" i="0" u="none" strike="noStrike" kern="1200" baseline="0">
                  <a:solidFill>
                    <a:schemeClr val="accent1"/>
                  </a:solidFill>
                  <a:latin typeface="+mn-lt"/>
                  <a:ea typeface="+mn-ea"/>
                  <a:cs typeface="+mn-cs"/>
                </a:defRPr>
              </a:pPr>
              <a:endParaRPr lang="en-US"/>
            </a:p>
          </c:txPr>
        </c:title>
        <c:numFmt formatCode="General" sourceLinked="1"/>
        <c:majorTickMark val="out"/>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1890356047"/>
        <c:crosses val="autoZero"/>
        <c:crossBetween val="midCat"/>
      </c:valAx>
      <c:valAx>
        <c:axId val="1889581407"/>
        <c:scaling>
          <c:orientation val="minMax"/>
          <c:max val="1"/>
        </c:scaling>
        <c:delete val="0"/>
        <c:axPos val="r"/>
        <c:title>
          <c:tx>
            <c:rich>
              <a:bodyPr rot="-5400000" spcFirstLastPara="1" vertOverflow="ellipsis" vert="horz" wrap="square" anchor="ctr" anchorCtr="1"/>
              <a:lstStyle/>
              <a:p>
                <a:pPr>
                  <a:defRPr sz="1000" b="0" i="0" u="none" strike="noStrike" kern="1200" baseline="0">
                    <a:solidFill>
                      <a:schemeClr val="accent2"/>
                    </a:solidFill>
                    <a:latin typeface="+mn-lt"/>
                    <a:ea typeface="+mn-ea"/>
                    <a:cs typeface="+mn-cs"/>
                  </a:defRPr>
                </a:pPr>
                <a:r>
                  <a:rPr lang="nb-NO">
                    <a:solidFill>
                      <a:schemeClr val="accent2"/>
                    </a:solidFill>
                  </a:rPr>
                  <a:t>Extraction 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accent2"/>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crossAx val="1889556927"/>
        <c:crosses val="max"/>
        <c:crossBetween val="midCat"/>
        <c:majorUnit val="0.2"/>
      </c:valAx>
      <c:valAx>
        <c:axId val="1889556927"/>
        <c:scaling>
          <c:orientation val="minMax"/>
        </c:scaling>
        <c:delete val="1"/>
        <c:axPos val="b"/>
        <c:numFmt formatCode="General" sourceLinked="1"/>
        <c:majorTickMark val="out"/>
        <c:minorTickMark val="none"/>
        <c:tickLblPos val="nextTo"/>
        <c:crossAx val="188958140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Z2zAG+owD4/y2cU+zXwmeZpsGA==">CgMxLjAyDmguYW1jbTd5ZDUydGJvMg5oLndpM2w0Nm9qNGZnaTIOaC42dTY3cnp4Z2xyaHEyCGguZ2pkZ3hzOAByITE1STVBUVRhRVpkeUhwbERGMkZWV2VwT0hZMXVuMnBmRQ==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5613FF5-9A9E-4B15-97D1-2908D95CF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14</Pages>
  <Words>3263</Words>
  <Characters>18602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Stavanger</Company>
  <LinksUpToDate>false</LinksUpToDate>
  <CharactersWithSpaces>21822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Evans</dc:creator>
  <cp:lastModifiedBy>Naveed Ahmed</cp:lastModifiedBy>
  <cp:revision>38</cp:revision>
  <dcterms:created xsi:type="dcterms:W3CDTF">2021-06-03T11:29:00Z</dcterms:created>
  <dcterms:modified xsi:type="dcterms:W3CDTF">2023-10-21T20:32:00Z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2023-10-21T16:02:30Z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42a9087b-1ef0-48ed-97ab-24db2f660af7</vt:lpwstr>
  </property>
  <property fmtid="{D5CDD505-2E9C-101B-9397-08002B2CF9AE}" pid="8" name="MSIP_Label_2b7fce66-bf2d-46b5-b59a-9f0018501bcd_ContentBits">
    <vt:lpwstr>0</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11th edition - Harvard</vt:lpwstr>
  </property>
  <property fmtid="{D5CDD505-2E9C-101B-9397-08002B2CF9AE}" pid="21" name="Mendeley Recent Style Id 6_1">
    <vt:lpwstr>http://www.zotero.org/styles/energy-conversion-and-management</vt:lpwstr>
  </property>
  <property fmtid="{D5CDD505-2E9C-101B-9397-08002B2CF9AE}" pid="22" name="Mendeley Recent Style Name 6_1">
    <vt:lpwstr>Energy Conversion and Management</vt:lpwstr>
  </property>
  <property fmtid="{D5CDD505-2E9C-101B-9397-08002B2CF9AE}" pid="23" name="Mendeley Recent Style Id 7_1">
    <vt:lpwstr>http://www.zotero.org/styles/ieee</vt:lpwstr>
  </property>
  <property fmtid="{D5CDD505-2E9C-101B-9397-08002B2CF9AE}" pid="24" name="Mendeley Recent Style Name 7_1">
    <vt:lpwstr>IEEE</vt:lpwstr>
  </property>
  <property fmtid="{D5CDD505-2E9C-101B-9397-08002B2CF9AE}" pid="25" name="Mendeley Recent Style Id 8_1">
    <vt:lpwstr>http://www.zotero.org/styles/renewable-energy</vt:lpwstr>
  </property>
  <property fmtid="{D5CDD505-2E9C-101B-9397-08002B2CF9AE}" pid="26" name="Mendeley Recent Style Name 8_1">
    <vt:lpwstr>Renewable Energy</vt:lpwstr>
  </property>
  <property fmtid="{D5CDD505-2E9C-101B-9397-08002B2CF9AE}" pid="27" name="Mendeley Recent Style Id 9_1">
    <vt:lpwstr>http://www.zotero.org/styles/sustainability</vt:lpwstr>
  </property>
  <property fmtid="{D5CDD505-2E9C-101B-9397-08002B2CF9AE}" pid="28" name="Mendeley Recent Style Name 9_1">
    <vt:lpwstr>Sustainability</vt:lpwstr>
  </property>
</Properties>
</file>