
<file path=[Content_Types].xml><?xml version="1.0" encoding="utf-8"?>
<Types xmlns="http://schemas.openxmlformats.org/package/2006/content-types">
  <Default Extension="emf" ContentType="image/x-emf"/>
  <Default Extension="ICO" ContentType="image/.ico"/>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87EB6" w14:textId="40BDF29A" w:rsidR="009F7FCE" w:rsidRPr="00EE426C" w:rsidRDefault="00D04B31" w:rsidP="00C24DEF">
      <w:pPr>
        <w:pStyle w:val="papertitle"/>
      </w:pPr>
      <w:r w:rsidRPr="00D04B31">
        <w:t>Developing a Structurally Efficient Lattice Polymeric Core for a Lightweight Composite Profile</w:t>
      </w:r>
    </w:p>
    <w:p w14:paraId="0DE1CFEE" w14:textId="014ECF5B" w:rsidR="00382277" w:rsidRPr="00EE426C" w:rsidRDefault="00D04B31" w:rsidP="00EE426C">
      <w:pPr>
        <w:pStyle w:val="author"/>
      </w:pPr>
      <w:r w:rsidRPr="00D04B31">
        <w:t xml:space="preserve">Viktor </w:t>
      </w:r>
      <w:proofErr w:type="gramStart"/>
      <w:r w:rsidRPr="00D04B31">
        <w:t>Gribniak</w:t>
      </w:r>
      <w:r w:rsidR="009B2539">
        <w:rPr>
          <w:rStyle w:val="ORCID"/>
        </w:rPr>
        <w:t>[</w:t>
      </w:r>
      <w:proofErr w:type="gramEnd"/>
      <w:r w:rsidRPr="00D04B31">
        <w:rPr>
          <w:rStyle w:val="ORCID"/>
        </w:rPr>
        <w:t>0000-0001-8296-0037</w:t>
      </w:r>
      <w:r w:rsidR="009B2539">
        <w:rPr>
          <w:rStyle w:val="ORCID"/>
        </w:rPr>
        <w:t>]</w:t>
      </w:r>
      <w:r>
        <w:t xml:space="preserve">, </w:t>
      </w:r>
      <w:r w:rsidRPr="00D04B31">
        <w:t>Ieva Misiūnaitė</w:t>
      </w:r>
      <w:r>
        <w:rPr>
          <w:rStyle w:val="ORCID"/>
        </w:rPr>
        <w:t>[</w:t>
      </w:r>
      <w:r w:rsidRPr="00D04B31">
        <w:rPr>
          <w:rStyle w:val="ORCID"/>
        </w:rPr>
        <w:t>0000-0002-5906-5760</w:t>
      </w:r>
      <w:r>
        <w:rPr>
          <w:rStyle w:val="ORCID"/>
        </w:rPr>
        <w:t>]</w:t>
      </w:r>
      <w:r>
        <w:t>, and</w:t>
      </w:r>
      <w:r>
        <w:br/>
      </w:r>
      <w:r w:rsidRPr="00D04B31">
        <w:t>Arvydas Rimkus</w:t>
      </w:r>
      <w:r w:rsidR="009B2539">
        <w:rPr>
          <w:rStyle w:val="ORCID"/>
        </w:rPr>
        <w:t>[</w:t>
      </w:r>
      <w:r w:rsidRPr="00D04B31">
        <w:rPr>
          <w:rStyle w:val="ORCID"/>
        </w:rPr>
        <w:t>0000-0003-3257-5936</w:t>
      </w:r>
      <w:r w:rsidR="009B2539">
        <w:rPr>
          <w:rStyle w:val="ORCID"/>
        </w:rPr>
        <w:t>]</w:t>
      </w:r>
    </w:p>
    <w:p w14:paraId="2AF29FB3" w14:textId="5FDC6B49" w:rsidR="00382277" w:rsidRPr="00EE426C" w:rsidRDefault="00D04B31" w:rsidP="00EE426C">
      <w:pPr>
        <w:pStyle w:val="address"/>
      </w:pPr>
      <w:r w:rsidRPr="00D04B31">
        <w:t>Laboratory of Innovative Building Structures, Vilnius Gediminas Technical University,</w:t>
      </w:r>
      <w:r>
        <w:br/>
      </w:r>
      <w:r w:rsidRPr="00D04B31">
        <w:t>Vilnius 10223, Lithuania</w:t>
      </w:r>
    </w:p>
    <w:p w14:paraId="38E55F62" w14:textId="5F2998CD" w:rsidR="00382277" w:rsidRPr="006809AE" w:rsidRDefault="00D04B31" w:rsidP="006809AE">
      <w:pPr>
        <w:pStyle w:val="address"/>
      </w:pPr>
      <w:r>
        <w:rPr>
          <w:rStyle w:val="e-mail"/>
        </w:rPr>
        <w:t>Viktor.gribniak</w:t>
      </w:r>
      <w:r w:rsidR="009B2539" w:rsidRPr="006809AE">
        <w:rPr>
          <w:rStyle w:val="e-mail"/>
        </w:rPr>
        <w:t>@</w:t>
      </w:r>
      <w:r>
        <w:rPr>
          <w:rStyle w:val="e-mail"/>
        </w:rPr>
        <w:t>vilniustech.lt</w:t>
      </w:r>
    </w:p>
    <w:p w14:paraId="528905C5" w14:textId="75FBD91B" w:rsidR="00382277" w:rsidRPr="00EE426C" w:rsidRDefault="009B2539" w:rsidP="00EE426C">
      <w:pPr>
        <w:pStyle w:val="abstract"/>
        <w:spacing w:after="0"/>
        <w:ind w:firstLine="0"/>
      </w:pPr>
      <w:r w:rsidRPr="00EE426C">
        <w:rPr>
          <w:b/>
          <w:bCs/>
        </w:rPr>
        <w:t xml:space="preserve">Abstract. </w:t>
      </w:r>
      <w:r w:rsidR="00D66F35" w:rsidRPr="00D66F35">
        <w:t xml:space="preserve">Increasing profile thickness enhances mechanical resistance but wastes materials and is not cost-effective. This research advances the lightweight hybrid lattice-filled profile (HLFP) concept for modular engineering, which combines a thin-walled tubular shell with an additively manufactured lattice structure (AMLS) as a lightweight core. Various materials, such as steel, aluminum, and fiber-reinforced polymer, can form the mechanically resilient shell. At the same time, the sparse core enhances local stability and reduces stress concentrations, thereby preventing premature structural failures. Preliminary tests on HLFP with metal profiles demonstrated that the adhesively bonded AMLS increases load-bearing capacity by 130%. Reducing infill density does not affect mechanical resistance; a fourfold decrease in density (from 10% to 2.5%) results in only a 20% reduction in ultimate load. However, the sparse lattice shifts AMLS failure from ductile to brittle, necessitating further optimization. Therefore, this study focuses on the mechanical performance of polymeric AMLS under various manufacturing layouts to establish a reliable experimental database for verifying theoretical and numerical models. The AMLS development utilizes </w:t>
      </w:r>
      <w:r w:rsidR="004527DB" w:rsidRPr="004527DB">
        <w:rPr>
          <w:smallCaps/>
        </w:rPr>
        <w:t>Abaqus</w:t>
      </w:r>
      <w:r w:rsidR="00D66F35" w:rsidRPr="00D66F35">
        <w:t xml:space="preserve"> finite element software, incorporating a standard optimization solver and buildability conditions derived from this study. The refined AMLS model reflects this condition, while diverse internal lattice arrangements create a complex optimization problem. The physical tests of the AMLS verify optimization efficiency, revealing the necessity of considering the peculiarities of </w:t>
      </w:r>
      <w:r w:rsidR="00950862">
        <w:t>additive manufacturing</w:t>
      </w:r>
      <w:r w:rsidR="00D66F35" w:rsidRPr="00D66F35">
        <w:t xml:space="preserve"> technologies related to the uneven mechanical performance of the fabricated solids, which are under the control of the fabrication pathway.</w:t>
      </w:r>
    </w:p>
    <w:p w14:paraId="6DAF483B" w14:textId="151FAD02" w:rsidR="00382277" w:rsidRPr="00EE426C" w:rsidRDefault="009B2539" w:rsidP="00EE426C">
      <w:pPr>
        <w:pStyle w:val="keywords"/>
      </w:pPr>
      <w:r w:rsidRPr="00EE426C">
        <w:rPr>
          <w:b/>
          <w:bCs/>
        </w:rPr>
        <w:t>Keywords:</w:t>
      </w:r>
      <w:r w:rsidRPr="00EE426C">
        <w:t xml:space="preserve"> </w:t>
      </w:r>
      <w:r w:rsidR="00950862">
        <w:t>Lightweight Structures</w:t>
      </w:r>
      <w:r w:rsidRPr="00EE426C">
        <w:t xml:space="preserve">, </w:t>
      </w:r>
      <w:r w:rsidR="00950862">
        <w:t>Additive Manufacturing</w:t>
      </w:r>
      <w:r>
        <w:t xml:space="preserve">, </w:t>
      </w:r>
      <w:r w:rsidR="00950862">
        <w:t>Lattice Core, Polymers, Numerical Modeling, Structure Optimization, Physical Tests</w:t>
      </w:r>
      <w:r>
        <w:t>.</w:t>
      </w:r>
    </w:p>
    <w:p w14:paraId="7872EE53" w14:textId="71493D6B" w:rsidR="00382277" w:rsidRDefault="00D15F6F" w:rsidP="00C24DEF">
      <w:pPr>
        <w:pStyle w:val="heading1"/>
      </w:pPr>
      <w:r>
        <w:t>Introduction</w:t>
      </w:r>
    </w:p>
    <w:p w14:paraId="36EE0E30" w14:textId="3FF32D30" w:rsidR="00382277" w:rsidRPr="00EE426C" w:rsidRDefault="00D15F6F" w:rsidP="00C24DEF">
      <w:pPr>
        <w:pStyle w:val="p1a"/>
      </w:pPr>
      <w:r w:rsidRPr="00351493">
        <w:rPr>
          <w:lang w:eastAsia="en-GB"/>
        </w:rPr>
        <w:t xml:space="preserve">The demand for efficient, lightweight structural systems in modern construction has accelerated the development of hybrid profiles that combine mechanical performance with low material usage and modular fabrication. One such innovation is the lightweight hybrid lattice-filled profile (HLFP)—a structural configuration consisting of a thin-walled metal profile filled with an adhesively bonded polymeric core. </w:t>
      </w:r>
      <w:r w:rsidRPr="00D15F6F">
        <w:rPr>
          <w:lang w:eastAsia="en-GB"/>
        </w:rPr>
        <w:t>T</w:t>
      </w:r>
      <w:r>
        <w:rPr>
          <w:lang w:eastAsia="en-GB"/>
        </w:rPr>
        <w:t xml:space="preserve">he HLFP </w:t>
      </w:r>
      <w:r>
        <w:rPr>
          <w:lang w:eastAsia="en-GB"/>
        </w:rPr>
        <w:lastRenderedPageBreak/>
        <w:t>concept combines a stiff shell in the shape of a tubular profile with a three-dimensional, additively manufactured lattice structure (AMLS) insert</w:t>
      </w:r>
      <w:r w:rsidRPr="00351493">
        <w:rPr>
          <w:lang w:eastAsia="en-GB"/>
        </w:rPr>
        <w:t xml:space="preserve">. </w:t>
      </w:r>
      <w:r w:rsidRPr="00D15F6F">
        <w:rPr>
          <w:lang w:eastAsia="en-GB"/>
        </w:rPr>
        <w:t>In particular, steel, aluminum, and even fiber-reinforced polymeric profiles can form the thin-walled, mechanically resilient shell</w:t>
      </w:r>
      <w:r>
        <w:rPr>
          <w:lang w:eastAsia="en-GB"/>
        </w:rPr>
        <w:t xml:space="preserve">. The sparse core ensures local stability and reduces stress concentrations in the shell, thereby </w:t>
      </w:r>
      <w:r w:rsidRPr="00D15F6F">
        <w:rPr>
          <w:lang w:eastAsia="en-GB"/>
        </w:rPr>
        <w:t>avoiding premature failure of the structural components.</w:t>
      </w:r>
      <w:r>
        <w:rPr>
          <w:lang w:eastAsia="en-GB"/>
        </w:rPr>
        <w:t xml:space="preserve"> </w:t>
      </w:r>
      <w:r w:rsidRPr="00351493">
        <w:rPr>
          <w:lang w:eastAsia="en-GB"/>
        </w:rPr>
        <w:t xml:space="preserve">Prior experimental results have shown that such configurations enhance elastic-stage mechanical performance and maintain structural contribution under conditions of partial debonding and damage </w:t>
      </w:r>
      <w:r w:rsidRPr="00351493">
        <w:rPr>
          <w:color w:val="FF0000"/>
          <w:lang w:eastAsia="en-GB"/>
        </w:rPr>
        <w:t>[1</w:t>
      </w:r>
      <w:r>
        <w:rPr>
          <w:color w:val="FF0000"/>
          <w:lang w:eastAsia="en-GB"/>
        </w:rPr>
        <w:t>–</w:t>
      </w:r>
      <w:r w:rsidRPr="00351493">
        <w:rPr>
          <w:color w:val="FF0000"/>
          <w:lang w:eastAsia="en-GB"/>
        </w:rPr>
        <w:t>3]</w:t>
      </w:r>
      <w:r w:rsidRPr="00351493">
        <w:rPr>
          <w:lang w:eastAsia="en-GB"/>
        </w:rPr>
        <w:t>, confirming their potential for integration into prefabricated and modular structural systems.</w:t>
      </w:r>
    </w:p>
    <w:p w14:paraId="65A312E3" w14:textId="334AE10B" w:rsidR="00382277" w:rsidRPr="008B142E" w:rsidRDefault="00255E7A" w:rsidP="00C24DEF">
      <w:pPr>
        <w:rPr>
          <w:highlight w:val="yellow"/>
        </w:rPr>
      </w:pPr>
      <w:r w:rsidRPr="00255E7A">
        <w:t xml:space="preserve">Previous investigations have </w:t>
      </w:r>
      <w:r>
        <w:t>demonstrated that lattice cores manufactured via additive methods with low infill densities (e.g., 10%) can substantially enhance</w:t>
      </w:r>
      <w:r w:rsidRPr="00255E7A">
        <w:t xml:space="preserve"> the elastic response of thin-walled profiles while only marginally increasing weight </w:t>
      </w:r>
      <w:r w:rsidRPr="00255E7A">
        <w:rPr>
          <w:color w:val="FF0000"/>
        </w:rPr>
        <w:t>[2,3]</w:t>
      </w:r>
      <w:r w:rsidRPr="00255E7A">
        <w:t>. However, the performance of these inserts is susceptible to manufacturing factors, including core geometry, bonding area configuration, and printing orientation. Specifically, cores printed orthogonally to the loading direction demonstrate significantly greater stability and post-yield resistance than inclined or fragmented structures, which are prone to brittle failure and early debonding.</w:t>
      </w:r>
    </w:p>
    <w:p w14:paraId="70C4CEFC" w14:textId="1365C39D" w:rsidR="00D15F6F" w:rsidRDefault="00255E7A" w:rsidP="00D15F6F">
      <w:r w:rsidRPr="00255E7A">
        <w:t xml:space="preserve">Topology optimization (TO) has increasingly been used to derive structurally efficient lattice geometries based on defined boundary conditions and objective functions, thereby overcoming the geometric limitations of predefined infill patterns. Finite element-based TO tools, such as </w:t>
      </w:r>
      <w:r w:rsidRPr="00255E7A">
        <w:rPr>
          <w:smallCaps/>
        </w:rPr>
        <w:t>Abaqus</w:t>
      </w:r>
      <w:r w:rsidRPr="00255E7A">
        <w:t xml:space="preserve">/CAE, optimize material distribution under constraints that include strain energy minimization and volume limitation. However, despite its computational robustness, standard TO procedures face numerous limitations when applied to designing internal lattices for hybrid profiles. These limitations include reliance on linear elastic assumptions, a lack of post-yield or stability criteria, and the frequent generation of slender or disconnected features that are not readily manufacturable </w:t>
      </w:r>
      <w:r w:rsidRPr="00255E7A">
        <w:rPr>
          <w:color w:val="FF0000"/>
        </w:rPr>
        <w:t>[4–6]</w:t>
      </w:r>
      <w:r w:rsidRPr="00255E7A">
        <w:t>. Moreover, optimization results are highly dependent on boundary and loading conditions; for example, distributed loads often lead to material accumulation near the boundaries rather than the formation of effective internal strut networks.</w:t>
      </w:r>
    </w:p>
    <w:p w14:paraId="420E0F0A" w14:textId="5A830D7E" w:rsidR="009945C2" w:rsidRDefault="009945C2" w:rsidP="00D15F6F">
      <w:r w:rsidRPr="009945C2">
        <w:t xml:space="preserve">Recent studies have emphasized the importance of incorporating manufacturing-aware geometric restrictions, such as demolding directions or minimum feature size, into TO routines to ensure the feasibility of the final output </w:t>
      </w:r>
      <w:r w:rsidRPr="009945C2">
        <w:rPr>
          <w:color w:val="FF0000"/>
        </w:rPr>
        <w:t>[5,7]</w:t>
      </w:r>
      <w:r w:rsidRPr="009945C2">
        <w:t xml:space="preserve">. Adjusting the load application strategy, such as replacing distributed loading with strategically placed point forces, has also been shown to guide the optimization toward more functional and directional topologies </w:t>
      </w:r>
      <w:r w:rsidRPr="009945C2">
        <w:rPr>
          <w:color w:val="FF0000"/>
        </w:rPr>
        <w:t>[6,7]</w:t>
      </w:r>
      <w:r w:rsidRPr="009945C2">
        <w:t>. Even with these improvements, manual refinement remains necessary to adjust algorithm-generated geometries for manufacturability, stiffness continuity, and structural coherence under compressive load</w:t>
      </w:r>
      <w:r w:rsidR="001C570B">
        <w:t xml:space="preserve">. This modification implements the </w:t>
      </w:r>
      <w:r w:rsidR="001C570B" w:rsidRPr="001C570B">
        <w:t>design for additive manufacturing (</w:t>
      </w:r>
      <w:proofErr w:type="spellStart"/>
      <w:r w:rsidR="001C570B" w:rsidRPr="001C570B">
        <w:t>DfAM</w:t>
      </w:r>
      <w:proofErr w:type="spellEnd"/>
      <w:r w:rsidR="001C570B" w:rsidRPr="001C570B">
        <w:t>), integrat</w:t>
      </w:r>
      <w:r w:rsidR="001C570B">
        <w:t>ing</w:t>
      </w:r>
      <w:r w:rsidR="001C570B" w:rsidRPr="001C570B">
        <w:t xml:space="preserve"> computational design with manufacturing constraints to optimize both shape and performance</w:t>
      </w:r>
      <w:r w:rsidR="001C570B">
        <w:t xml:space="preserve"> </w:t>
      </w:r>
      <w:r w:rsidR="001C570B" w:rsidRPr="001C570B">
        <w:rPr>
          <w:color w:val="FF0000"/>
        </w:rPr>
        <w:t>[8]</w:t>
      </w:r>
      <w:r w:rsidR="001C570B" w:rsidRPr="001C570B">
        <w:t>.</w:t>
      </w:r>
    </w:p>
    <w:p w14:paraId="5B39BD47" w14:textId="758FA31D" w:rsidR="001C570B" w:rsidRDefault="00A553FF" w:rsidP="00D15F6F">
      <w:r w:rsidRPr="00A553FF">
        <w:t xml:space="preserve">This study </w:t>
      </w:r>
      <w:r w:rsidR="00B32591">
        <w:t xml:space="preserve">employs the </w:t>
      </w:r>
      <w:proofErr w:type="spellStart"/>
      <w:r w:rsidR="00B32591">
        <w:t>DfAM</w:t>
      </w:r>
      <w:proofErr w:type="spellEnd"/>
      <w:r w:rsidR="00B32591">
        <w:t xml:space="preserve"> approach to develop lattice cores for HLFP systems, integrating</w:t>
      </w:r>
      <w:r w:rsidRPr="00A553FF">
        <w:t xml:space="preserve"> the TO tool in </w:t>
      </w:r>
      <w:r w:rsidR="00F57A62">
        <w:t xml:space="preserve">finite element (FE) software </w:t>
      </w:r>
      <w:r w:rsidR="00B32591" w:rsidRPr="00255E7A">
        <w:rPr>
          <w:smallCaps/>
        </w:rPr>
        <w:t>Abaqus</w:t>
      </w:r>
      <w:r w:rsidRPr="00A553FF">
        <w:t xml:space="preserve">/CAE </w:t>
      </w:r>
      <w:r w:rsidR="00B32591">
        <w:t>with expert-dr</w:t>
      </w:r>
      <w:r w:rsidR="00E8397B">
        <w:t>iven</w:t>
      </w:r>
      <w:r w:rsidRPr="00A553FF">
        <w:t xml:space="preserve"> post-processing of lattice geometries. This study is limited to the mechanical performance of polymeric AMLS with </w:t>
      </w:r>
      <w:r w:rsidR="00B32591">
        <w:t>various manufacturing layouts, aiming</w:t>
      </w:r>
      <w:r w:rsidRPr="00A553FF">
        <w:t xml:space="preserve"> to generate a reliable experimental database for verifying theoretical and numerical models and further optimizing the </w:t>
      </w:r>
      <w:r w:rsidR="00F57A62">
        <w:t>mechanical resistance of the polymeric core</w:t>
      </w:r>
      <w:r w:rsidRPr="00A553FF">
        <w:t xml:space="preserve">. All geometries </w:t>
      </w:r>
      <w:r w:rsidRPr="00A553FF">
        <w:lastRenderedPageBreak/>
        <w:t xml:space="preserve">replicate polymeric inserts from previous studies </w:t>
      </w:r>
      <w:r w:rsidRPr="00A553FF">
        <w:rPr>
          <w:color w:val="FF0000"/>
        </w:rPr>
        <w:t>[2,3]</w:t>
      </w:r>
      <w:r w:rsidRPr="00A553FF">
        <w:t xml:space="preserve"> with slight modifications to verify the effect of 3D printing parameters on the mechanical resistance of the polymeric core under axial compression. The tests include 104×46×40 mm</w:t>
      </w:r>
      <w:r>
        <w:t>³</w:t>
      </w:r>
      <w:r w:rsidRPr="00A553FF">
        <w:t xml:space="preserve"> AMLS specimens with different fabrication layouts, including the reference topology created by AM slicing software, two TO patterns, and one modified lattice structure by implementing the </w:t>
      </w:r>
      <w:proofErr w:type="spellStart"/>
      <w:r w:rsidRPr="00A553FF">
        <w:t>DfAM</w:t>
      </w:r>
      <w:proofErr w:type="spellEnd"/>
      <w:r w:rsidRPr="00A553FF">
        <w:t xml:space="preserve"> approach. All specimens were designed to ensure the same weight. Further AM </w:t>
      </w:r>
      <w:r w:rsidR="00EC27E1">
        <w:t>(</w:t>
      </w:r>
      <w:r w:rsidRPr="00A553FF">
        <w:t>using fused filament fabrication</w:t>
      </w:r>
      <w:r w:rsidR="00EC27E1">
        <w:t>,</w:t>
      </w:r>
      <w:r w:rsidRPr="00A553FF">
        <w:t xml:space="preserve"> FFF) and compression tests </w:t>
      </w:r>
      <w:r w:rsidR="00EC27E1">
        <w:t>confirm the effectiveness of</w:t>
      </w:r>
      <w:r w:rsidRPr="00A553FF">
        <w:t xml:space="preserve"> the modified design procedure.</w:t>
      </w:r>
    </w:p>
    <w:p w14:paraId="69000B08" w14:textId="3FFFE316" w:rsidR="00D15F6F" w:rsidRDefault="00EC27E1" w:rsidP="00D15F6F">
      <w:pPr>
        <w:pStyle w:val="heading1"/>
      </w:pPr>
      <w:r>
        <w:t xml:space="preserve">The </w:t>
      </w:r>
      <w:proofErr w:type="spellStart"/>
      <w:r>
        <w:t>DfAM</w:t>
      </w:r>
      <w:proofErr w:type="spellEnd"/>
      <w:r>
        <w:t xml:space="preserve"> Concept</w:t>
      </w:r>
    </w:p>
    <w:p w14:paraId="545CAC90" w14:textId="1CBD6485" w:rsidR="00D15F6F" w:rsidRPr="00EE426C" w:rsidRDefault="00B32591" w:rsidP="00D15F6F">
      <w:pPr>
        <w:pStyle w:val="p1a"/>
      </w:pPr>
      <w:r w:rsidRPr="00B32591">
        <w:t xml:space="preserve">The development of a structurally efficient AMLS was supported by a topology optimization procedure conducted in </w:t>
      </w:r>
      <w:r w:rsidRPr="00255E7A">
        <w:rPr>
          <w:smallCaps/>
        </w:rPr>
        <w:t>Abaqus</w:t>
      </w:r>
      <w:r w:rsidRPr="00B32591">
        <w:t xml:space="preserve">/CAE using its built-in optimization module. The simulation </w:t>
      </w:r>
      <w:r>
        <w:t>utilizes a polylactic acid (PLA) model, which assumes a linear elastic, isotropic material with a modulus of elasticity of 1.9 GPa, a Poisson’s ratio of 0.33, and a density of 1.24 g/cm³</w:t>
      </w:r>
      <w:r w:rsidRPr="00B32591">
        <w:t>. The geometry was meshed using 8-node linear brick elements with reduced integration (C3D8R), applying a global mesh size of 2 mm. The bottom surface was fully constrained in all degrees of freedom. A 1 mm-thick bonded shell, replicating the adhesive interface with the composite skin, was modeled and excluded from the optimization domain to simulate fixed boundaries.</w:t>
      </w:r>
    </w:p>
    <w:p w14:paraId="0254E609" w14:textId="5B98C5A0" w:rsidR="00D15F6F" w:rsidRDefault="00B32591" w:rsidP="00D15F6F">
      <w:r w:rsidRPr="00B32591">
        <w:t xml:space="preserve">Two different loading configurations were introduced to assess their influence on optimization outcomes. Model A, the load-representative model, applied a 20 kN uniformly distributed load over the entire top surface, approximating realistic service conditions. Model B, the topology-driven configuration, used discrete 100 N point loads applied at the four corners of a 10.75 mm square on the top face to promote the emergence of structurally efficient paths. </w:t>
      </w:r>
      <w:r w:rsidRPr="006F6B06">
        <w:rPr>
          <w:color w:val="FF0000"/>
        </w:rPr>
        <w:t xml:space="preserve">Figure </w:t>
      </w:r>
      <w:r w:rsidR="006F6B06" w:rsidRPr="006F6B06">
        <w:rPr>
          <w:color w:val="FF0000"/>
        </w:rPr>
        <w:t>1</w:t>
      </w:r>
      <w:r w:rsidRPr="00B32591">
        <w:t xml:space="preserve"> outlines the optimization process, including modeling</w:t>
      </w:r>
      <w:r w:rsidR="006F6B06">
        <w:t xml:space="preserve"> steps</w:t>
      </w:r>
      <w:r w:rsidRPr="00B32591">
        <w:t>, load schemes,</w:t>
      </w:r>
      <w:r w:rsidR="006F6B06">
        <w:t xml:space="preserve"> AMLS configurations, constraint refinements,</w:t>
      </w:r>
      <w:r w:rsidRPr="00B32591">
        <w:t xml:space="preserve"> and the resulting </w:t>
      </w:r>
      <w:r w:rsidR="006F6B06">
        <w:t>structures</w:t>
      </w:r>
      <w:r w:rsidRPr="00B32591">
        <w:t>.</w:t>
      </w:r>
    </w:p>
    <w:p w14:paraId="14E9B0D4" w14:textId="356EBC84" w:rsidR="003006F3" w:rsidRDefault="003006F3" w:rsidP="00D15F6F">
      <w:r>
        <w:t xml:space="preserve">The design problem was addressed by defining the central volume (i.e., weight equivalent) of the AMLS specimen as the design region, while excluding boundary zones and the bonded shell. The goal was to minimize total strain energy under the applied static load. A mass constraint was imposed, limiting the retained material to 60 g. The optimization employed the </w:t>
      </w:r>
      <w:r w:rsidR="00463EDE">
        <w:t xml:space="preserve">solid isotropic material with penalization </w:t>
      </w:r>
      <w:r>
        <w:t>(SIMP) method, featuring a penalty factor of 3, a convergence criterion of 0.001, and a maximum of 15 optimization cycles. In Attempt 1 (</w:t>
      </w:r>
      <w:r w:rsidRPr="00463EDE">
        <w:rPr>
          <w:color w:val="FF0000"/>
        </w:rPr>
        <w:t>Fig. 1</w:t>
      </w:r>
      <w:r>
        <w:t>), Model A was used without any restrictions. It yielded a design with vertically aligned elements and directional struts, although it retained multiple disconnected or inefficient regions. While the material was redistributed along the expected load paths, the outcome lacked structural coherence and manufacturability, rendering it unsuitable for AM without further refinement.</w:t>
      </w:r>
    </w:p>
    <w:p w14:paraId="30900963" w14:textId="4137CE14" w:rsidR="00294FBD" w:rsidRDefault="003006F3" w:rsidP="00D15F6F">
      <w:r>
        <w:t>Attempt 2 (</w:t>
      </w:r>
      <w:r w:rsidRPr="00463EDE">
        <w:rPr>
          <w:color w:val="FF0000"/>
        </w:rPr>
        <w:t>Fig. 1</w:t>
      </w:r>
      <w:r>
        <w:t xml:space="preserve">) introduced a technological constraint to enhance buildability by restricting material removal to the vertical direction. This forging constraint was applied using the geometric restriction tools in </w:t>
      </w:r>
      <w:r w:rsidRPr="00463EDE">
        <w:rPr>
          <w:smallCaps/>
        </w:rPr>
        <w:t>Abaqus</w:t>
      </w:r>
      <w:r>
        <w:t xml:space="preserve"> to simulate demolding limitations. The resulting topology exhibited localized thickening near the supports and along web zones, yet it failed to form any organized internal structure. Similar to the first </w:t>
      </w:r>
      <w:r>
        <w:lastRenderedPageBreak/>
        <w:t>case, the output did not yield a viable solution for additive manufacturing, as it lacked defined struts and effective connectivity.</w:t>
      </w:r>
    </w:p>
    <w:p w14:paraId="37A79C80" w14:textId="77777777" w:rsidR="003006F3" w:rsidRDefault="003006F3" w:rsidP="003006F3">
      <w:r w:rsidRPr="004B15D7">
        <w:t xml:space="preserve">Attempt 3 </w:t>
      </w:r>
      <w:r>
        <w:t>(</w:t>
      </w:r>
      <w:r w:rsidRPr="004B15D7">
        <w:rPr>
          <w:color w:val="FF0000"/>
        </w:rPr>
        <w:t xml:space="preserve">Fig. </w:t>
      </w:r>
      <w:r>
        <w:rPr>
          <w:color w:val="FF0000"/>
        </w:rPr>
        <w:t>1</w:t>
      </w:r>
      <w:r>
        <w:t xml:space="preserve">) </w:t>
      </w:r>
      <w:r w:rsidRPr="004B15D7">
        <w:t>combined the geometric restriction with the load reconfiguration of Model B. This setup encouraged load-following paths and directed material distribution, significantly enhancing lattice topology. The output demonstrated greater continuity and alignment of internal members, although some minor unsupported fragments persisted.</w:t>
      </w:r>
    </w:p>
    <w:p w14:paraId="342BAB33" w14:textId="77777777" w:rsidR="003006F3" w:rsidRDefault="003006F3" w:rsidP="003006F3">
      <w:r w:rsidRPr="00CF5037">
        <w:rPr>
          <w:color w:val="FF0000"/>
        </w:rPr>
        <w:t>Figure 2</w:t>
      </w:r>
      <w:r w:rsidRPr="00CF5037">
        <w:t xml:space="preserve"> </w:t>
      </w:r>
      <w:r>
        <w:t xml:space="preserve">presents the results of the finite element (FE) simulations for two “optimized” AMLS configurations from the second and third topology optimization attempts, referred to as the </w:t>
      </w:r>
      <w:r w:rsidRPr="00CF5037">
        <w:rPr>
          <w:i/>
          <w:iCs/>
        </w:rPr>
        <w:t>O-shaped</w:t>
      </w:r>
      <w:r>
        <w:t xml:space="preserve"> and </w:t>
      </w:r>
      <w:r w:rsidRPr="00CF5037">
        <w:rPr>
          <w:i/>
          <w:iCs/>
        </w:rPr>
        <w:t>Column-supported</w:t>
      </w:r>
      <w:r w:rsidRPr="00CF5037">
        <w:t xml:space="preserve"> topologies. In </w:t>
      </w:r>
      <w:r w:rsidRPr="00CF5037">
        <w:rPr>
          <w:color w:val="FF0000"/>
        </w:rPr>
        <w:t>Figure 2a</w:t>
      </w:r>
      <w:r w:rsidRPr="00CF5037">
        <w:t xml:space="preserve">, the stress distributions and failure modes from both linear (LA) and nonlinear (NLA) finite element analyses are displayed; </w:t>
      </w:r>
      <w:r w:rsidRPr="00CF5037">
        <w:rPr>
          <w:color w:val="FF0000"/>
        </w:rPr>
        <w:t>Figure 2b</w:t>
      </w:r>
      <w:r w:rsidRPr="00CF5037">
        <w:t xml:space="preserve"> presents the associated load-vertical displacement curves from these simulations. This comparison </w:t>
      </w:r>
      <w:r>
        <w:t>highlights a significant limitation in automated topology optimization for slender lattice structures: the optimization relies on linear static analysis, which neglects geometric nonlinearities that significantly impact</w:t>
      </w:r>
      <w:r w:rsidRPr="00CF5037">
        <w:t xml:space="preserve"> the </w:t>
      </w:r>
      <w:r>
        <w:t>adequate</w:t>
      </w:r>
      <w:r w:rsidRPr="00CF5037">
        <w:t xml:space="preserve"> structural response under compressive loads. </w:t>
      </w:r>
      <w:r w:rsidRPr="00CF5037">
        <w:rPr>
          <w:color w:val="FF0000"/>
        </w:rPr>
        <w:t>Figure 2b</w:t>
      </w:r>
      <w:r w:rsidRPr="00CF5037">
        <w:t xml:space="preserve"> indicates that both topologies achieve the </w:t>
      </w:r>
      <w:r>
        <w:t>design target</w:t>
      </w:r>
      <w:r w:rsidRPr="00CF5037">
        <w:t xml:space="preserve">—supporting loads </w:t>
      </w:r>
      <w:r>
        <w:t xml:space="preserve">exceeding 20 </w:t>
      </w:r>
      <w:r w:rsidRPr="00CF5037">
        <w:t xml:space="preserve">kN—when evaluated using linear analysis. However, with large displacements factored in through nonlinear analysis, the estimated bearing capacities drop significantly for both configurations. The failure mode analysis in </w:t>
      </w:r>
      <w:r w:rsidRPr="00CF5037">
        <w:rPr>
          <w:color w:val="FF0000"/>
        </w:rPr>
        <w:t>Figure 2a</w:t>
      </w:r>
      <w:r w:rsidRPr="00CF5037">
        <w:t xml:space="preserve"> illustrates that both structures are prone to buckling, although the failure mechanisms differ. In the optimized O-shaped design, instability originates </w:t>
      </w:r>
      <w:r>
        <w:t>from the continuous, shell-like walls, whereas</w:t>
      </w:r>
      <w:r w:rsidRPr="00CF5037">
        <w:t xml:space="preserve"> the column-supported configuration fails due to the buckling of vertical strut elements. These insights underscore the importance of performing nonlinear verification to confirm the desired load-bearing capacity and stability in TO structures, particularly in compression-dominated scenarios.</w:t>
      </w:r>
    </w:p>
    <w:p w14:paraId="7951EC44" w14:textId="680DAAD3" w:rsidR="006F6B06" w:rsidRPr="00EE1BBB" w:rsidRDefault="006F6B06" w:rsidP="006F6B06">
      <w:pPr>
        <w:spacing w:before="360"/>
        <w:ind w:left="227" w:hanging="227"/>
      </w:pPr>
      <w:r w:rsidRPr="00351493">
        <w:rPr>
          <w:noProof/>
        </w:rPr>
        <w:drawing>
          <wp:inline distT="0" distB="0" distL="0" distR="0" wp14:anchorId="6F5F4E0C" wp14:editId="3C181C03">
            <wp:extent cx="3862387" cy="2447290"/>
            <wp:effectExtent l="0" t="0" r="5080" b="0"/>
            <wp:docPr id="158395454" name="Picture 2" descr="A diagram of 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5454" name="Picture 2" descr="A diagram of a model"/>
                    <pic:cNvPicPr/>
                  </pic:nvPicPr>
                  <pic:blipFill rotWithShape="1">
                    <a:blip r:embed="rId8">
                      <a:extLst>
                        <a:ext uri="{28A0092B-C50C-407E-A947-70E740481C1C}">
                          <a14:useLocalDpi xmlns:a14="http://schemas.microsoft.com/office/drawing/2010/main" val="0"/>
                        </a:ext>
                      </a:extLst>
                    </a:blip>
                    <a:srcRect l="7375" t="3325" r="4651" b="22342"/>
                    <a:stretch/>
                  </pic:blipFill>
                  <pic:spPr bwMode="auto">
                    <a:xfrm>
                      <a:off x="0" y="0"/>
                      <a:ext cx="3864627" cy="2448709"/>
                    </a:xfrm>
                    <a:prstGeom prst="rect">
                      <a:avLst/>
                    </a:prstGeom>
                    <a:ln>
                      <a:noFill/>
                    </a:ln>
                    <a:extLst>
                      <a:ext uri="{53640926-AAD7-44D8-BBD7-CCE9431645EC}">
                        <a14:shadowObscured xmlns:a14="http://schemas.microsoft.com/office/drawing/2010/main"/>
                      </a:ext>
                    </a:extLst>
                  </pic:spPr>
                </pic:pic>
              </a:graphicData>
            </a:graphic>
          </wp:inline>
        </w:drawing>
      </w:r>
    </w:p>
    <w:p w14:paraId="56E1E09E" w14:textId="6BA27A51" w:rsidR="006F6B06" w:rsidRDefault="006F6B06" w:rsidP="006F6B06">
      <w:pPr>
        <w:pStyle w:val="figurecaption"/>
        <w:jc w:val="both"/>
      </w:pPr>
      <w:r>
        <w:rPr>
          <w:b/>
        </w:rPr>
        <w:t xml:space="preserve">Fig. </w:t>
      </w:r>
      <w:r>
        <w:rPr>
          <w:b/>
        </w:rPr>
        <w:fldChar w:fldCharType="begin"/>
      </w:r>
      <w:r>
        <w:rPr>
          <w:b/>
        </w:rPr>
        <w:instrText xml:space="preserve"> SEQ "Figure" \* MERGEFORMAT </w:instrText>
      </w:r>
      <w:r>
        <w:rPr>
          <w:b/>
        </w:rPr>
        <w:fldChar w:fldCharType="separate"/>
      </w:r>
      <w:r>
        <w:rPr>
          <w:b/>
          <w:noProof/>
        </w:rPr>
        <w:t>1</w:t>
      </w:r>
      <w:r>
        <w:rPr>
          <w:b/>
        </w:rPr>
        <w:fldChar w:fldCharType="end"/>
      </w:r>
      <w:r>
        <w:rPr>
          <w:b/>
        </w:rPr>
        <w:t>.</w:t>
      </w:r>
      <w:r>
        <w:t xml:space="preserve"> The </w:t>
      </w:r>
      <w:proofErr w:type="spellStart"/>
      <w:r>
        <w:t>DfAM</w:t>
      </w:r>
      <w:proofErr w:type="spellEnd"/>
      <w:r>
        <w:t xml:space="preserve"> workflow for AMLS.</w:t>
      </w:r>
    </w:p>
    <w:p w14:paraId="4A28CD8C" w14:textId="4FB9FD8F" w:rsidR="00CF5037" w:rsidRPr="00EE1BBB" w:rsidRDefault="00CF5037" w:rsidP="00CF5037">
      <w:pPr>
        <w:spacing w:before="360"/>
        <w:ind w:left="227" w:hanging="227"/>
      </w:pPr>
      <w:r w:rsidRPr="00CF5037">
        <w:rPr>
          <w:noProof/>
        </w:rPr>
        <w:lastRenderedPageBreak/>
        <w:drawing>
          <wp:inline distT="0" distB="0" distL="0" distR="0" wp14:anchorId="107FF86C" wp14:editId="57D8DCED">
            <wp:extent cx="4392930" cy="2347912"/>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348"/>
                    <a:stretch/>
                  </pic:blipFill>
                  <pic:spPr bwMode="auto">
                    <a:xfrm>
                      <a:off x="0" y="0"/>
                      <a:ext cx="4392930" cy="2347912"/>
                    </a:xfrm>
                    <a:prstGeom prst="rect">
                      <a:avLst/>
                    </a:prstGeom>
                    <a:noFill/>
                    <a:ln>
                      <a:noFill/>
                    </a:ln>
                    <a:extLst>
                      <a:ext uri="{53640926-AAD7-44D8-BBD7-CCE9431645EC}">
                        <a14:shadowObscured xmlns:a14="http://schemas.microsoft.com/office/drawing/2010/main"/>
                      </a:ext>
                    </a:extLst>
                  </pic:spPr>
                </pic:pic>
              </a:graphicData>
            </a:graphic>
          </wp:inline>
        </w:drawing>
      </w:r>
    </w:p>
    <w:p w14:paraId="1A624D7A" w14:textId="0A538F0F" w:rsidR="00CF5037" w:rsidRDefault="00CF5037" w:rsidP="00CF5037">
      <w:pPr>
        <w:pStyle w:val="figurecaption"/>
        <w:jc w:val="both"/>
      </w:pPr>
      <w:r>
        <w:rPr>
          <w:b/>
        </w:rPr>
        <w:t xml:space="preserve">Fig. </w:t>
      </w:r>
      <w:r>
        <w:rPr>
          <w:b/>
        </w:rPr>
        <w:fldChar w:fldCharType="begin"/>
      </w:r>
      <w:r>
        <w:rPr>
          <w:b/>
        </w:rPr>
        <w:instrText xml:space="preserve"> SEQ "Figure" \* MERGEFORMAT </w:instrText>
      </w:r>
      <w:r>
        <w:rPr>
          <w:b/>
        </w:rPr>
        <w:fldChar w:fldCharType="separate"/>
      </w:r>
      <w:r>
        <w:rPr>
          <w:b/>
          <w:noProof/>
        </w:rPr>
        <w:t>2</w:t>
      </w:r>
      <w:r>
        <w:rPr>
          <w:b/>
        </w:rPr>
        <w:fldChar w:fldCharType="end"/>
      </w:r>
      <w:r>
        <w:rPr>
          <w:b/>
        </w:rPr>
        <w:t>.</w:t>
      </w:r>
      <w:r>
        <w:t xml:space="preserve"> </w:t>
      </w:r>
      <w:r w:rsidR="00D6107B">
        <w:t>The FE simulations of “optimized” AMLS geometries: (a) stress distributions and instability modes; (b) the predicted vertical load-displacement diagrams by linear and non-linear analysis procedures</w:t>
      </w:r>
      <w:r>
        <w:t>.</w:t>
      </w:r>
    </w:p>
    <w:p w14:paraId="003076A4" w14:textId="77777777" w:rsidR="003006F3" w:rsidRDefault="003006F3" w:rsidP="003006F3">
      <w:r w:rsidRPr="004B15D7">
        <w:t xml:space="preserve">While the automated </w:t>
      </w:r>
      <w:r>
        <w:t>TO</w:t>
      </w:r>
      <w:r w:rsidRPr="004B15D7">
        <w:t xml:space="preserve"> in </w:t>
      </w:r>
      <w:r w:rsidRPr="00255E7A">
        <w:rPr>
          <w:smallCaps/>
        </w:rPr>
        <w:t>Abaqus</w:t>
      </w:r>
      <w:r w:rsidRPr="004B15D7">
        <w:t xml:space="preserve"> provided an efficient material distribution based on predicted strain energy minimization, the final output reflected intrinsic limitations of the underlying algorithm and the linear analysis framework. In particular, the solution yielded in Attempt 3 </w:t>
      </w:r>
      <w:r>
        <w:t>(</w:t>
      </w:r>
      <w:r w:rsidRPr="00F57A62">
        <w:rPr>
          <w:color w:val="FF0000"/>
        </w:rPr>
        <w:t>Figs. 1</w:t>
      </w:r>
      <w:r>
        <w:t xml:space="preserve"> and </w:t>
      </w:r>
      <w:r w:rsidRPr="00F57A62">
        <w:rPr>
          <w:color w:val="FF0000"/>
        </w:rPr>
        <w:t>2a</w:t>
      </w:r>
      <w:r>
        <w:t xml:space="preserve">) </w:t>
      </w:r>
      <w:r w:rsidRPr="004B15D7">
        <w:t>produced disconnected, slender, column-like features that, although directionally aligned with the load paths, were structurally vulnerable to premature buckling and lacked the global continuity necessary for the AM pathway integrity and mechanical resistance of the fabricated structure.</w:t>
      </w:r>
    </w:p>
    <w:p w14:paraId="5E441B50" w14:textId="77777777" w:rsidR="003006F3" w:rsidRDefault="003006F3" w:rsidP="003006F3">
      <w:r w:rsidRPr="004B15D7">
        <w:t xml:space="preserve">These limitations </w:t>
      </w:r>
      <w:r>
        <w:t>highlight the automated procedure’s inability to ensure manufacturable or buckling-resistant designs alone, particularly</w:t>
      </w:r>
      <w:r w:rsidRPr="004B15D7">
        <w:t xml:space="preserve"> in the absence of nonlinear stability considerations. To overcome these issues, a heuristic </w:t>
      </w:r>
      <w:proofErr w:type="spellStart"/>
      <w:r w:rsidRPr="004B15D7">
        <w:t>DfAM</w:t>
      </w:r>
      <w:proofErr w:type="spellEnd"/>
      <w:r w:rsidRPr="004B15D7">
        <w:t xml:space="preserve"> approach was adopted, combining automated optimization with expert-</w:t>
      </w:r>
      <w:r>
        <w:t>driven</w:t>
      </w:r>
      <w:r w:rsidRPr="004B15D7">
        <w:t xml:space="preserve"> post-processing. This included manual interventions that integrated isolated features into a continuous structural contour to enhance global stiffness and mechanical stability. Such adjustments required domain-specific knowledge to reinterpret and reinforce the automated topology, effectively bridging the gap between algorithmic output and physical viability.</w:t>
      </w:r>
    </w:p>
    <w:p w14:paraId="5CAE9E69" w14:textId="13D049A1" w:rsidR="00A57BD8" w:rsidRDefault="00D6107B" w:rsidP="00A57BD8">
      <w:pPr>
        <w:pStyle w:val="heading1"/>
      </w:pPr>
      <w:r>
        <w:t>Experimental Program</w:t>
      </w:r>
    </w:p>
    <w:p w14:paraId="32001430" w14:textId="195F1F55" w:rsidR="00A57BD8" w:rsidRDefault="00E44CB0" w:rsidP="00A57BD8">
      <w:pPr>
        <w:pStyle w:val="p1a"/>
      </w:pPr>
      <w:r w:rsidRPr="00E44CB0">
        <w:t xml:space="preserve">The experimental investigation was conducted at the Laboratory of Innovative Building Structures at VILNIUS TECH. The primary objective was to evaluate the mechanical behavior of polymeric lattice structures (cores) manufactured using </w:t>
      </w:r>
      <w:r>
        <w:t xml:space="preserve">FFF technology, derived directly from automated </w:t>
      </w:r>
      <w:r w:rsidR="00CA159E">
        <w:t xml:space="preserve">TO, and incorporating the </w:t>
      </w:r>
      <w:proofErr w:type="spellStart"/>
      <w:r w:rsidR="00CA159E">
        <w:t>DfAM</w:t>
      </w:r>
      <w:proofErr w:type="spellEnd"/>
      <w:r w:rsidR="00CA159E">
        <w:t xml:space="preserve"> approach to enhance</w:t>
      </w:r>
      <w:r w:rsidRPr="00E44CB0">
        <w:t xml:space="preserve"> structural continuity. The specimens were fabricated from PLA and </w:t>
      </w:r>
      <w:r w:rsidR="00CA159E">
        <w:t>subjected to axial compression to evaluate</w:t>
      </w:r>
      <w:r w:rsidRPr="00E44CB0">
        <w:t xml:space="preserve"> their stiffness, strength, and failure mechanisms</w:t>
      </w:r>
      <w:r w:rsidR="00CA159E">
        <w:t xml:space="preserve">. All geometries and the assumed 60 g weight replicate polymeric inserts from previous studies </w:t>
      </w:r>
      <w:r w:rsidR="00CA159E" w:rsidRPr="00CA159E">
        <w:rPr>
          <w:color w:val="FF0000"/>
        </w:rPr>
        <w:lastRenderedPageBreak/>
        <w:t>[2,3]</w:t>
      </w:r>
      <w:r w:rsidR="00CA159E">
        <w:t xml:space="preserve"> were examined</w:t>
      </w:r>
      <w:r w:rsidRPr="00E44CB0">
        <w:t>. So, the compression tests include 104×46×40 mm³ AMLS specimens with different fabrication layouts, including the reference topology created by AM slicing software (</w:t>
      </w:r>
      <w:r w:rsidRPr="00E44CB0">
        <w:rPr>
          <w:color w:val="FF0000"/>
        </w:rPr>
        <w:t>Fig. 3a</w:t>
      </w:r>
      <w:r w:rsidRPr="00E44CB0">
        <w:t>), two TO patterns (</w:t>
      </w:r>
      <w:r w:rsidRPr="00E44CB0">
        <w:rPr>
          <w:color w:val="FF0000"/>
        </w:rPr>
        <w:t>Figs. 3b</w:t>
      </w:r>
      <w:r w:rsidRPr="00E44CB0">
        <w:t xml:space="preserve"> and </w:t>
      </w:r>
      <w:r w:rsidRPr="00E44CB0">
        <w:rPr>
          <w:color w:val="FF0000"/>
        </w:rPr>
        <w:t>3c</w:t>
      </w:r>
      <w:r w:rsidRPr="00E44CB0">
        <w:t xml:space="preserve">), and one modified lattice structure by implementing the </w:t>
      </w:r>
      <w:proofErr w:type="spellStart"/>
      <w:r w:rsidRPr="00E44CB0">
        <w:t>DfAM</w:t>
      </w:r>
      <w:proofErr w:type="spellEnd"/>
      <w:r w:rsidRPr="00E44CB0">
        <w:t xml:space="preserve"> approach (</w:t>
      </w:r>
      <w:r w:rsidRPr="00E44CB0">
        <w:rPr>
          <w:color w:val="FF0000"/>
        </w:rPr>
        <w:t>Fig. 3d</w:t>
      </w:r>
      <w:r w:rsidRPr="00E44CB0">
        <w:t xml:space="preserve">). These results provided experimental validation for the automated TO process and the </w:t>
      </w:r>
      <w:proofErr w:type="spellStart"/>
      <w:r w:rsidRPr="00E44CB0">
        <w:t>DfAM</w:t>
      </w:r>
      <w:proofErr w:type="spellEnd"/>
      <w:r w:rsidRPr="00E44CB0">
        <w:t xml:space="preserve"> approach concerning manufacturability and load-bearing efficiency.</w:t>
      </w:r>
    </w:p>
    <w:p w14:paraId="3D18183F" w14:textId="61655CE1" w:rsidR="00CA159E" w:rsidRPr="00EE1BBB" w:rsidRDefault="00CA159E" w:rsidP="00CA159E">
      <w:pPr>
        <w:spacing w:before="360"/>
        <w:ind w:left="227" w:hanging="227"/>
      </w:pPr>
      <w:r w:rsidRPr="00CA159E">
        <w:rPr>
          <w:noProof/>
        </w:rPr>
        <w:drawing>
          <wp:inline distT="0" distB="0" distL="0" distR="0" wp14:anchorId="74D7E318" wp14:editId="6B14FDD1">
            <wp:extent cx="4392930" cy="106108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92930" cy="1061085"/>
                    </a:xfrm>
                    <a:prstGeom prst="rect">
                      <a:avLst/>
                    </a:prstGeom>
                    <a:noFill/>
                    <a:ln>
                      <a:noFill/>
                    </a:ln>
                  </pic:spPr>
                </pic:pic>
              </a:graphicData>
            </a:graphic>
          </wp:inline>
        </w:drawing>
      </w:r>
    </w:p>
    <w:p w14:paraId="6067105C" w14:textId="3DD45EDB" w:rsidR="00CA159E" w:rsidRDefault="00CA159E" w:rsidP="00CA159E">
      <w:pPr>
        <w:pStyle w:val="figurecaption"/>
        <w:jc w:val="both"/>
      </w:pPr>
      <w:r>
        <w:rPr>
          <w:b/>
        </w:rPr>
        <w:t xml:space="preserve">Fig. </w:t>
      </w:r>
      <w:r>
        <w:rPr>
          <w:b/>
        </w:rPr>
        <w:fldChar w:fldCharType="begin"/>
      </w:r>
      <w:r>
        <w:rPr>
          <w:b/>
        </w:rPr>
        <w:instrText xml:space="preserve"> SEQ "Figure" \* MERGEFORMAT </w:instrText>
      </w:r>
      <w:r>
        <w:rPr>
          <w:b/>
        </w:rPr>
        <w:fldChar w:fldCharType="separate"/>
      </w:r>
      <w:r>
        <w:rPr>
          <w:b/>
          <w:noProof/>
        </w:rPr>
        <w:t>3</w:t>
      </w:r>
      <w:r>
        <w:rPr>
          <w:b/>
        </w:rPr>
        <w:fldChar w:fldCharType="end"/>
      </w:r>
      <w:r>
        <w:rPr>
          <w:b/>
        </w:rPr>
        <w:t>.</w:t>
      </w:r>
      <w:r>
        <w:t xml:space="preserve"> The front views and sliced AMLS models prepared for fabrication: (a) the reference structure; (b) and (c) automatically optimized O-shaped and Columns-supported geometries; (d) the expert-</w:t>
      </w:r>
      <w:r w:rsidR="00E8397B">
        <w:t>driven</w:t>
      </w:r>
      <w:r>
        <w:t xml:space="preserve"> </w:t>
      </w:r>
      <w:proofErr w:type="spellStart"/>
      <w:r>
        <w:t>DfAM</w:t>
      </w:r>
      <w:proofErr w:type="spellEnd"/>
      <w:r>
        <w:t xml:space="preserve"> result.</w:t>
      </w:r>
    </w:p>
    <w:p w14:paraId="788240EE" w14:textId="4A211546" w:rsidR="00EA2B78" w:rsidRPr="006809AE" w:rsidRDefault="00CA159E" w:rsidP="00EA2B78">
      <w:pPr>
        <w:pStyle w:val="heading2"/>
        <w:spacing w:before="160"/>
      </w:pPr>
      <w:r>
        <w:t>AMLS Fabrication</w:t>
      </w:r>
    </w:p>
    <w:p w14:paraId="791B93CD" w14:textId="629A3E57" w:rsidR="00EA2B78" w:rsidRPr="00EE426C" w:rsidRDefault="00721797" w:rsidP="00EA2B78">
      <w:pPr>
        <w:pStyle w:val="p1a"/>
      </w:pPr>
      <w:r w:rsidRPr="00721797">
        <w:t>The test specimens (</w:t>
      </w:r>
      <w:r w:rsidRPr="00E8397B">
        <w:rPr>
          <w:color w:val="FF0000"/>
        </w:rPr>
        <w:t>Fig. 3</w:t>
      </w:r>
      <w:r w:rsidRPr="00721797">
        <w:t xml:space="preserve">) were fabricated using a </w:t>
      </w:r>
      <w:proofErr w:type="spellStart"/>
      <w:r w:rsidRPr="00721797">
        <w:rPr>
          <w:smallCaps/>
        </w:rPr>
        <w:t>Prusa</w:t>
      </w:r>
      <w:proofErr w:type="spellEnd"/>
      <w:r w:rsidRPr="00721797">
        <w:t xml:space="preserve"> i3 MK3 3D printer with 1.75 mm PLA filament (</w:t>
      </w:r>
      <w:proofErr w:type="spellStart"/>
      <w:r w:rsidRPr="00721797">
        <w:rPr>
          <w:smallCaps/>
        </w:rPr>
        <w:t>Prusament</w:t>
      </w:r>
      <w:proofErr w:type="spellEnd"/>
      <w:r w:rsidRPr="00721797">
        <w:t xml:space="preserve">). The slicing and printing strategy was adapted from previous experimental protocols </w:t>
      </w:r>
      <w:r w:rsidRPr="00721797">
        <w:rPr>
          <w:color w:val="FF0000"/>
        </w:rPr>
        <w:t>[1–3]</w:t>
      </w:r>
      <w:r w:rsidRPr="00721797">
        <w:t xml:space="preserve"> and was optimized for dimensional accuracy and interlayer adhesion. Slicing was performed using </w:t>
      </w:r>
      <w:proofErr w:type="spellStart"/>
      <w:r w:rsidRPr="00721797">
        <w:rPr>
          <w:smallCaps/>
        </w:rPr>
        <w:t>PrusaSlicer</w:t>
      </w:r>
      <w:proofErr w:type="spellEnd"/>
      <w:r w:rsidRPr="00721797">
        <w:t xml:space="preserve"> 2.8.1, which generated the toolpaths for FFF. Except for the reference geometry (</w:t>
      </w:r>
      <w:r w:rsidRPr="00721797">
        <w:rPr>
          <w:color w:val="FF0000"/>
        </w:rPr>
        <w:t>Fig. 3a</w:t>
      </w:r>
      <w:r w:rsidRPr="00721797">
        <w:t xml:space="preserve">), the internal lattice pattern models were created automatically through the TO routines in </w:t>
      </w:r>
      <w:r w:rsidRPr="00255E7A">
        <w:rPr>
          <w:smallCaps/>
        </w:rPr>
        <w:t>Abaqus</w:t>
      </w:r>
      <w:r>
        <w:t xml:space="preserve">. The automatic design of the </w:t>
      </w:r>
      <w:proofErr w:type="spellStart"/>
      <w:r>
        <w:t>DfAM</w:t>
      </w:r>
      <w:proofErr w:type="spellEnd"/>
      <w:r>
        <w:t xml:space="preserve"> model was further </w:t>
      </w:r>
      <w:r w:rsidRPr="00721797">
        <w:t xml:space="preserve">enhanced using </w:t>
      </w:r>
      <w:r w:rsidRPr="00721797">
        <w:rPr>
          <w:smallCaps/>
        </w:rPr>
        <w:t>Autodesk Fusion</w:t>
      </w:r>
      <w:r w:rsidRPr="00721797">
        <w:t xml:space="preserve"> 360. All models were treated as solid bodies during slicing and processed with 100% infill density to preserve the designed internal geometry. Two solid perimeter shells were applied to ensure structural integrity and dimensional accuracy at the outer boundaries, forming a continuous</w:t>
      </w:r>
      <w:r>
        <w:t xml:space="preserve">, millimeter-thick outer layer </w:t>
      </w:r>
      <w:r w:rsidR="00463EDE">
        <w:t>that connects the lattice core to</w:t>
      </w:r>
      <w:r w:rsidRPr="00721797">
        <w:t xml:space="preserve"> </w:t>
      </w:r>
      <w:r>
        <w:t>an</w:t>
      </w:r>
      <w:r w:rsidRPr="00721797">
        <w:t xml:space="preserve"> HLFP structure. The lattice geometry generated through topology optimization constituted the inner structure, resulting in a sparse internal material distribution.</w:t>
      </w:r>
      <w:r w:rsidR="00ED444F">
        <w:t xml:space="preserve"> As a result, the considered models exhibited distinct weights: the reference structure weighed 63.09 g, the O-shaped TO variant weighed 62.77 g, the Columns-supported geometry weighed 61.46 g, and the expert-designed </w:t>
      </w:r>
      <w:proofErr w:type="spellStart"/>
      <w:r w:rsidR="00ED444F">
        <w:t>DfAM</w:t>
      </w:r>
      <w:proofErr w:type="spellEnd"/>
      <w:r w:rsidR="00ED444F">
        <w:t xml:space="preserve"> model weighed 61.34 g.</w:t>
      </w:r>
    </w:p>
    <w:p w14:paraId="32021782" w14:textId="3F6B5962" w:rsidR="00EA2B78" w:rsidRDefault="00721797" w:rsidP="00EA2B78">
      <w:r w:rsidRPr="00721797">
        <w:t>Printing was conducted using a 0.4 mm nozzle, a layer height of 0.2 mm, and a printing speed of 28 mm/s. The extrusion temperature was 215</w:t>
      </w:r>
      <w:r>
        <w:t xml:space="preserve"> °C, while the bed temperature was 60 °C</w:t>
      </w:r>
      <w:r w:rsidRPr="00721797">
        <w:t xml:space="preserve">. To ensure consistent flow and surface finish, the volumetric flow rate was maintained at 15 mm³/s, whereas the outer wall layers were printed at a reduced rate of 1.5 mm³/s. All lattice configurations were oriented vertically during printing to align the layer direction with the compressive load path used in subsequent mechanical testing. This orientation was chosen to minimize delamination and enhance axial stiffness under load. No post-processing or thermal treatment was performed following fabrication. This direct-print approach ensured geometric fidelity between the optimization </w:t>
      </w:r>
      <w:r w:rsidRPr="00721797">
        <w:lastRenderedPageBreak/>
        <w:t>output and the physical specimens</w:t>
      </w:r>
      <w:r>
        <w:t xml:space="preserve">, enabling a </w:t>
      </w:r>
      <w:r w:rsidRPr="00721797">
        <w:t>direct comparison of the investigated lattice designs under controlled experimental conditions.</w:t>
      </w:r>
    </w:p>
    <w:p w14:paraId="55494025" w14:textId="204FFAD0" w:rsidR="00BE3F0B" w:rsidRPr="006809AE" w:rsidRDefault="004E69C8" w:rsidP="00BE3F0B">
      <w:pPr>
        <w:pStyle w:val="heading2"/>
        <w:spacing w:before="160"/>
      </w:pPr>
      <w:r>
        <w:t>Compression Tests</w:t>
      </w:r>
    </w:p>
    <w:p w14:paraId="762EA26E" w14:textId="37552FEA" w:rsidR="00BE3F0B" w:rsidRPr="00EE426C" w:rsidRDefault="004E69C8" w:rsidP="00BE3F0B">
      <w:pPr>
        <w:pStyle w:val="p1a"/>
      </w:pPr>
      <w:r>
        <w:t>The test</w:t>
      </w:r>
      <w:r w:rsidR="00463EDE">
        <w:t>s</w:t>
      </w:r>
      <w:r>
        <w:t xml:space="preserve"> involve nine specimens: one </w:t>
      </w:r>
      <w:proofErr w:type="spellStart"/>
      <w:r>
        <w:t>DfAM</w:t>
      </w:r>
      <w:proofErr w:type="spellEnd"/>
      <w:r>
        <w:t xml:space="preserve"> element, two O-shaped structures, and three </w:t>
      </w:r>
      <w:r w:rsidR="004360C4">
        <w:t xml:space="preserve">samples of each of the </w:t>
      </w:r>
      <w:r>
        <w:t xml:space="preserve">reference and Columns-supported </w:t>
      </w:r>
      <w:r w:rsidR="004360C4">
        <w:t>structure types</w:t>
      </w:r>
      <w:r>
        <w:t>.</w:t>
      </w:r>
      <w:r w:rsidR="004360C4">
        <w:t xml:space="preserve"> </w:t>
      </w:r>
      <w:r w:rsidR="004360C4" w:rsidRPr="004360C4">
        <w:t xml:space="preserve">The tests were conducted using a Tinius Olsen H75kS electromechanical testing machine, operated in displacement-controlled mode at a constant loading rate of 0.25 mm/min. Each specimen was positioned between two polished steel loading plates to ensure uniform </w:t>
      </w:r>
      <w:r w:rsidR="004360C4">
        <w:t>distribution of the axial load</w:t>
      </w:r>
      <w:r w:rsidR="004360C4" w:rsidRPr="004360C4">
        <w:t xml:space="preserve">. The sample alignment was maintained throughout the test to avoid eccentricities or out-of-plane deformation. Two linear variable displacement transducers (LVDTs) with a resolution of 0.001 mm recorded the vertical displacement of the upper loading plate. </w:t>
      </w:r>
      <w:r w:rsidR="004360C4" w:rsidRPr="004360C4">
        <w:rPr>
          <w:color w:val="FF0000"/>
        </w:rPr>
        <w:t>Figures 4</w:t>
      </w:r>
      <w:r w:rsidR="004360C4">
        <w:t xml:space="preserve"> to </w:t>
      </w:r>
      <w:r w:rsidR="004360C4">
        <w:rPr>
          <w:color w:val="FF0000"/>
        </w:rPr>
        <w:t>6</w:t>
      </w:r>
      <w:r w:rsidR="004360C4">
        <w:t xml:space="preserve"> show the AMLS specimens, test setup, vertical l</w:t>
      </w:r>
      <w:r w:rsidR="004360C4" w:rsidRPr="004360C4">
        <w:t>oad-displacement curves</w:t>
      </w:r>
      <w:r w:rsidR="004360C4">
        <w:t>,</w:t>
      </w:r>
      <w:r w:rsidR="004360C4" w:rsidRPr="004360C4">
        <w:t xml:space="preserve"> </w:t>
      </w:r>
      <w:r w:rsidR="004360C4">
        <w:t>and</w:t>
      </w:r>
      <w:r w:rsidR="004360C4" w:rsidRPr="004360C4">
        <w:t xml:space="preserve"> the </w:t>
      </w:r>
      <w:r w:rsidR="004360C4">
        <w:t>typical</w:t>
      </w:r>
      <w:r w:rsidR="004360C4" w:rsidRPr="004360C4">
        <w:t xml:space="preserve"> failure </w:t>
      </w:r>
      <w:r w:rsidR="004360C4">
        <w:t>shapes</w:t>
      </w:r>
      <w:r w:rsidR="004360C4" w:rsidRPr="004360C4">
        <w:t xml:space="preserve"> </w:t>
      </w:r>
      <w:r w:rsidR="004360C4">
        <w:t>of the tested AMLS</w:t>
      </w:r>
      <w:r w:rsidR="004360C4" w:rsidRPr="004360C4">
        <w:t>.</w:t>
      </w:r>
    </w:p>
    <w:p w14:paraId="339ADE99" w14:textId="24591C1C" w:rsidR="004360C4" w:rsidRPr="00EE1BBB" w:rsidRDefault="004360C4" w:rsidP="004360C4">
      <w:pPr>
        <w:spacing w:before="360"/>
        <w:ind w:left="227" w:hanging="227"/>
      </w:pPr>
      <w:r w:rsidRPr="00351493">
        <w:rPr>
          <w:noProof/>
          <w:lang w:eastAsia="en-GB"/>
        </w:rPr>
        <w:drawing>
          <wp:inline distT="0" distB="0" distL="0" distR="0" wp14:anchorId="1ABECD94" wp14:editId="74F8C699">
            <wp:extent cx="2965000" cy="1728000"/>
            <wp:effectExtent l="0" t="0" r="6985" b="5715"/>
            <wp:docPr id="2025111959" name="Picture 4" descr="A group of red rectangular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111959" name="Picture 4" descr="A group of red rectangular object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5000" cy="1728000"/>
                    </a:xfrm>
                    <a:prstGeom prst="rect">
                      <a:avLst/>
                    </a:prstGeom>
                  </pic:spPr>
                </pic:pic>
              </a:graphicData>
            </a:graphic>
          </wp:inline>
        </w:drawing>
      </w:r>
      <w:r>
        <w:t xml:space="preserve"> </w:t>
      </w:r>
      <w:r w:rsidRPr="00351493">
        <w:rPr>
          <w:noProof/>
          <w:lang w:eastAsia="en-GB"/>
        </w:rPr>
        <w:drawing>
          <wp:inline distT="0" distB="0" distL="0" distR="0" wp14:anchorId="09981A58" wp14:editId="716FB50F">
            <wp:extent cx="1314657" cy="1728000"/>
            <wp:effectExtent l="0" t="0" r="0" b="5715"/>
            <wp:docPr id="2066268100" name="Picture 5" descr="A machine with a red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268100" name="Picture 5" descr="A machine with a red object&#10;&#10;AI-generated content may be incorrect."/>
                    <pic:cNvPicPr/>
                  </pic:nvPicPr>
                  <pic:blipFill rotWithShape="1">
                    <a:blip r:embed="rId12" cstate="print">
                      <a:extLst>
                        <a:ext uri="{28A0092B-C50C-407E-A947-70E740481C1C}">
                          <a14:useLocalDpi xmlns:a14="http://schemas.microsoft.com/office/drawing/2010/main" val="0"/>
                        </a:ext>
                      </a:extLst>
                    </a:blip>
                    <a:srcRect b="7342"/>
                    <a:stretch/>
                  </pic:blipFill>
                  <pic:spPr bwMode="auto">
                    <a:xfrm>
                      <a:off x="0" y="0"/>
                      <a:ext cx="1314657" cy="1728000"/>
                    </a:xfrm>
                    <a:prstGeom prst="rect">
                      <a:avLst/>
                    </a:prstGeom>
                    <a:ln>
                      <a:noFill/>
                    </a:ln>
                    <a:extLst>
                      <a:ext uri="{53640926-AAD7-44D8-BBD7-CCE9431645EC}">
                        <a14:shadowObscured xmlns:a14="http://schemas.microsoft.com/office/drawing/2010/main"/>
                      </a:ext>
                    </a:extLst>
                  </pic:spPr>
                </pic:pic>
              </a:graphicData>
            </a:graphic>
          </wp:inline>
        </w:drawing>
      </w:r>
    </w:p>
    <w:p w14:paraId="575A6148" w14:textId="0C9BB4FC" w:rsidR="004360C4" w:rsidRDefault="004360C4" w:rsidP="004360C4">
      <w:pPr>
        <w:pStyle w:val="figurecaption"/>
        <w:jc w:val="both"/>
      </w:pPr>
      <w:r>
        <w:rPr>
          <w:b/>
        </w:rPr>
        <w:t xml:space="preserve">Fig. </w:t>
      </w:r>
      <w:r>
        <w:rPr>
          <w:b/>
        </w:rPr>
        <w:fldChar w:fldCharType="begin"/>
      </w:r>
      <w:r>
        <w:rPr>
          <w:b/>
        </w:rPr>
        <w:instrText xml:space="preserve"> SEQ "Figure" \* MERGEFORMAT </w:instrText>
      </w:r>
      <w:r>
        <w:rPr>
          <w:b/>
        </w:rPr>
        <w:fldChar w:fldCharType="separate"/>
      </w:r>
      <w:r>
        <w:rPr>
          <w:b/>
          <w:noProof/>
        </w:rPr>
        <w:t>4</w:t>
      </w:r>
      <w:r>
        <w:rPr>
          <w:b/>
        </w:rPr>
        <w:fldChar w:fldCharType="end"/>
      </w:r>
      <w:r>
        <w:rPr>
          <w:b/>
        </w:rPr>
        <w:t>.</w:t>
      </w:r>
      <w:r>
        <w:t xml:space="preserve"> </w:t>
      </w:r>
      <w:r w:rsidR="00FD10A5">
        <w:t>The AMLS samples prepared for the test (left) and the test setup (right)</w:t>
      </w:r>
      <w:r>
        <w:t>.</w:t>
      </w:r>
    </w:p>
    <w:p w14:paraId="5A26FDDC" w14:textId="5CC7029D" w:rsidR="004360C4" w:rsidRPr="00EE1BBB" w:rsidRDefault="004C76C7" w:rsidP="004360C4">
      <w:pPr>
        <w:spacing w:before="360"/>
        <w:ind w:left="227" w:hanging="227"/>
      </w:pPr>
      <w:r w:rsidRPr="004C76C7">
        <w:rPr>
          <w:noProof/>
        </w:rPr>
        <w:drawing>
          <wp:inline distT="0" distB="0" distL="0" distR="0" wp14:anchorId="35F01860" wp14:editId="372600CC">
            <wp:extent cx="4296449" cy="212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68" b="1551"/>
                    <a:stretch/>
                  </pic:blipFill>
                  <pic:spPr bwMode="auto">
                    <a:xfrm>
                      <a:off x="0" y="0"/>
                      <a:ext cx="4296449" cy="2124000"/>
                    </a:xfrm>
                    <a:prstGeom prst="rect">
                      <a:avLst/>
                    </a:prstGeom>
                    <a:noFill/>
                    <a:ln>
                      <a:noFill/>
                    </a:ln>
                    <a:extLst>
                      <a:ext uri="{53640926-AAD7-44D8-BBD7-CCE9431645EC}">
                        <a14:shadowObscured xmlns:a14="http://schemas.microsoft.com/office/drawing/2010/main"/>
                      </a:ext>
                    </a:extLst>
                  </pic:spPr>
                </pic:pic>
              </a:graphicData>
            </a:graphic>
          </wp:inline>
        </w:drawing>
      </w:r>
    </w:p>
    <w:p w14:paraId="24E5CE18" w14:textId="2E891919" w:rsidR="004360C4" w:rsidRDefault="004360C4" w:rsidP="004360C4">
      <w:pPr>
        <w:pStyle w:val="figurecaption"/>
        <w:jc w:val="both"/>
      </w:pPr>
      <w:r>
        <w:rPr>
          <w:b/>
        </w:rPr>
        <w:t xml:space="preserve">Fig. </w:t>
      </w:r>
      <w:r>
        <w:rPr>
          <w:b/>
        </w:rPr>
        <w:fldChar w:fldCharType="begin"/>
      </w:r>
      <w:r>
        <w:rPr>
          <w:b/>
        </w:rPr>
        <w:instrText xml:space="preserve"> SEQ "Figure" \* MERGEFORMAT </w:instrText>
      </w:r>
      <w:r>
        <w:rPr>
          <w:b/>
        </w:rPr>
        <w:fldChar w:fldCharType="separate"/>
      </w:r>
      <w:r>
        <w:rPr>
          <w:b/>
          <w:noProof/>
        </w:rPr>
        <w:t>5</w:t>
      </w:r>
      <w:r>
        <w:rPr>
          <w:b/>
        </w:rPr>
        <w:fldChar w:fldCharType="end"/>
      </w:r>
      <w:r>
        <w:rPr>
          <w:b/>
        </w:rPr>
        <w:t>.</w:t>
      </w:r>
      <w:r>
        <w:t xml:space="preserve"> </w:t>
      </w:r>
      <w:r w:rsidR="004C76C7">
        <w:t>Compression load-displacement diagrams of AMLS specimens</w:t>
      </w:r>
      <w:r>
        <w:t>.</w:t>
      </w:r>
    </w:p>
    <w:p w14:paraId="273618DA" w14:textId="439524B3" w:rsidR="004360C4" w:rsidRPr="00EE1BBB" w:rsidRDefault="00D52D53" w:rsidP="004360C4">
      <w:pPr>
        <w:spacing w:before="360"/>
        <w:ind w:left="227" w:hanging="227"/>
      </w:pPr>
      <w:r w:rsidRPr="00D52D53">
        <w:rPr>
          <w:noProof/>
        </w:rPr>
        <w:lastRenderedPageBreak/>
        <w:drawing>
          <wp:inline distT="0" distB="0" distL="0" distR="0" wp14:anchorId="1048E919" wp14:editId="7ECE18AA">
            <wp:extent cx="4310380" cy="1933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0380" cy="1933575"/>
                    </a:xfrm>
                    <a:prstGeom prst="rect">
                      <a:avLst/>
                    </a:prstGeom>
                    <a:noFill/>
                    <a:ln>
                      <a:noFill/>
                    </a:ln>
                  </pic:spPr>
                </pic:pic>
              </a:graphicData>
            </a:graphic>
          </wp:inline>
        </w:drawing>
      </w:r>
    </w:p>
    <w:p w14:paraId="61643936" w14:textId="3955C66F" w:rsidR="004360C4" w:rsidRDefault="004360C4" w:rsidP="004360C4">
      <w:pPr>
        <w:pStyle w:val="figurecaption"/>
        <w:jc w:val="both"/>
      </w:pPr>
      <w:r>
        <w:rPr>
          <w:b/>
        </w:rPr>
        <w:t xml:space="preserve">Fig. </w:t>
      </w:r>
      <w:r>
        <w:rPr>
          <w:b/>
        </w:rPr>
        <w:fldChar w:fldCharType="begin"/>
      </w:r>
      <w:r>
        <w:rPr>
          <w:b/>
        </w:rPr>
        <w:instrText xml:space="preserve"> SEQ "Figure" \* MERGEFORMAT </w:instrText>
      </w:r>
      <w:r>
        <w:rPr>
          <w:b/>
        </w:rPr>
        <w:fldChar w:fldCharType="separate"/>
      </w:r>
      <w:r>
        <w:rPr>
          <w:b/>
          <w:noProof/>
        </w:rPr>
        <w:t>6</w:t>
      </w:r>
      <w:r>
        <w:rPr>
          <w:b/>
        </w:rPr>
        <w:fldChar w:fldCharType="end"/>
      </w:r>
      <w:r>
        <w:rPr>
          <w:b/>
        </w:rPr>
        <w:t>.</w:t>
      </w:r>
      <w:r>
        <w:t xml:space="preserve"> </w:t>
      </w:r>
      <w:r w:rsidR="00D52D53">
        <w:t>The typical failure shapes of the AMLS specimens: (a) reference; (b) and (c) automatically optimized O-shaped and Columns-supported geometries; (d) the expert-</w:t>
      </w:r>
      <w:r w:rsidR="00E8397B">
        <w:t>driven</w:t>
      </w:r>
      <w:r w:rsidR="00D52D53">
        <w:t xml:space="preserve"> </w:t>
      </w:r>
      <w:proofErr w:type="spellStart"/>
      <w:r w:rsidR="00D52D53">
        <w:t>DfAM</w:t>
      </w:r>
      <w:proofErr w:type="spellEnd"/>
      <w:r w:rsidR="00D52D53">
        <w:t xml:space="preserve"> sample</w:t>
      </w:r>
      <w:r>
        <w:t>.</w:t>
      </w:r>
    </w:p>
    <w:p w14:paraId="0E494919" w14:textId="6F26E3FB" w:rsidR="004E69C8" w:rsidRDefault="004E69C8" w:rsidP="004E69C8">
      <w:pPr>
        <w:pStyle w:val="heading1"/>
      </w:pPr>
      <w:r>
        <w:t>Discussion of the Results</w:t>
      </w:r>
    </w:p>
    <w:p w14:paraId="2C860559" w14:textId="4CAD68BF" w:rsidR="004E69C8" w:rsidRDefault="00847AE2" w:rsidP="004E69C8">
      <w:pPr>
        <w:pStyle w:val="p1a"/>
      </w:pPr>
      <w:r w:rsidRPr="00847AE2">
        <w:t>The load-displacement diagrams (</w:t>
      </w:r>
      <w:r w:rsidRPr="00847AE2">
        <w:rPr>
          <w:color w:val="FF0000"/>
        </w:rPr>
        <w:t>Fig. 5</w:t>
      </w:r>
      <w:r w:rsidRPr="00847AE2">
        <w:t xml:space="preserve">) reveal the apparent differences </w:t>
      </w:r>
      <w:r w:rsidR="004906C3">
        <w:t>in the load-bearing capacity and post-yield response of the tested AMLS samples</w:t>
      </w:r>
      <w:r w:rsidRPr="00847AE2">
        <w:t xml:space="preserve">. The automatically </w:t>
      </w:r>
      <w:r>
        <w:t xml:space="preserve">“optimized” geometries were incapable of resisting the compression resulting from the oversimplified modeling assumptions inherent in the linear analysis procedures </w:t>
      </w:r>
      <w:r w:rsidR="00463EDE">
        <w:t>us</w:t>
      </w:r>
      <w:r>
        <w:t>ed</w:t>
      </w:r>
      <w:r w:rsidRPr="00847AE2">
        <w:t xml:space="preserve"> by the </w:t>
      </w:r>
      <w:r w:rsidRPr="00847AE2">
        <w:rPr>
          <w:smallCaps/>
        </w:rPr>
        <w:t>Abaqus</w:t>
      </w:r>
      <w:r w:rsidRPr="00847AE2">
        <w:t xml:space="preserve"> software. This model does not account for the non-linear </w:t>
      </w:r>
      <w:r w:rsidR="00463EDE">
        <w:t>AMLS</w:t>
      </w:r>
      <w:r w:rsidRPr="00847AE2">
        <w:t xml:space="preserve"> behavior and fabrication inaccuracies, which lead to premature failure or stability losses (</w:t>
      </w:r>
      <w:r w:rsidRPr="00847AE2">
        <w:rPr>
          <w:color w:val="FF0000"/>
        </w:rPr>
        <w:t>Figs. 3c</w:t>
      </w:r>
      <w:r w:rsidRPr="00847AE2">
        <w:t xml:space="preserve"> and </w:t>
      </w:r>
      <w:r w:rsidRPr="00847AE2">
        <w:rPr>
          <w:color w:val="FF0000"/>
        </w:rPr>
        <w:t>3b</w:t>
      </w:r>
      <w:r w:rsidRPr="00847AE2">
        <w:t>). The numerical simulation results support this hypothesis: the geometrically non-linear analysis (</w:t>
      </w:r>
      <w:r w:rsidRPr="00847AE2">
        <w:rPr>
          <w:color w:val="FF0000"/>
        </w:rPr>
        <w:t>Fig. 2b</w:t>
      </w:r>
      <w:r w:rsidRPr="00847AE2">
        <w:t>) substantially reduced the predicted load-bearing capacity, aligning it with the test results (</w:t>
      </w:r>
      <w:r w:rsidRPr="00847AE2">
        <w:rPr>
          <w:color w:val="FF0000"/>
        </w:rPr>
        <w:t>Fig. 5</w:t>
      </w:r>
      <w:r w:rsidRPr="00847AE2">
        <w:t xml:space="preserve">). However, the </w:t>
      </w:r>
      <w:r>
        <w:t>simulated</w:t>
      </w:r>
      <w:r w:rsidRPr="00847AE2">
        <w:t xml:space="preserve"> failure shapes (</w:t>
      </w:r>
      <w:r w:rsidRPr="00847AE2">
        <w:rPr>
          <w:color w:val="FF0000"/>
        </w:rPr>
        <w:t>Fig. 2a</w:t>
      </w:r>
      <w:r w:rsidRPr="00847AE2">
        <w:t>) only partially reflect the experimental results (</w:t>
      </w:r>
      <w:r w:rsidRPr="00847AE2">
        <w:rPr>
          <w:color w:val="FF0000"/>
        </w:rPr>
        <w:t>Figs. 6b</w:t>
      </w:r>
      <w:r w:rsidRPr="00847AE2">
        <w:t xml:space="preserve"> and </w:t>
      </w:r>
      <w:r w:rsidRPr="00847AE2">
        <w:rPr>
          <w:color w:val="FF0000"/>
        </w:rPr>
        <w:t>6c</w:t>
      </w:r>
      <w:r w:rsidRPr="00847AE2">
        <w:t xml:space="preserve">). This disagreement mainly arises from the natural brittleness of PLA </w:t>
      </w:r>
      <w:r w:rsidRPr="00847AE2">
        <w:rPr>
          <w:color w:val="FF0000"/>
        </w:rPr>
        <w:t>[9,10]</w:t>
      </w:r>
      <w:r w:rsidRPr="00847AE2">
        <w:t>, which was neglected in the FE model.</w:t>
      </w:r>
    </w:p>
    <w:p w14:paraId="62FA4CF8" w14:textId="13CC909F" w:rsidR="00BE3F0B" w:rsidRDefault="00F84529" w:rsidP="00EA2B78">
      <w:r w:rsidRPr="00F84529">
        <w:t xml:space="preserve">The refined </w:t>
      </w:r>
      <w:proofErr w:type="spellStart"/>
      <w:r w:rsidRPr="00F84529">
        <w:t>DfAM</w:t>
      </w:r>
      <w:proofErr w:type="spellEnd"/>
      <w:r w:rsidRPr="00F84529">
        <w:t xml:space="preserve"> specimen exhibited a steeper initial stiffness and the highest load-bearing capacity among the tested AMLS specimens, indicating improved load transfer through continuous pathways. Remarkably, this specimen has an internal structure identical to </w:t>
      </w:r>
      <w:r w:rsidR="00982A8B">
        <w:t>that of the Columns-supported AMLS, except for the connection of the columns;</w:t>
      </w:r>
      <w:r w:rsidRPr="00F84529">
        <w:t xml:space="preserve"> compare the internal structures shown in </w:t>
      </w:r>
      <w:r w:rsidRPr="00982A8B">
        <w:rPr>
          <w:color w:val="FF0000"/>
        </w:rPr>
        <w:t>Figures 3c</w:t>
      </w:r>
      <w:r w:rsidRPr="00F84529">
        <w:t xml:space="preserve"> and </w:t>
      </w:r>
      <w:r w:rsidRPr="00982A8B">
        <w:rPr>
          <w:color w:val="FF0000"/>
        </w:rPr>
        <w:t>3d</w:t>
      </w:r>
      <w:r w:rsidRPr="00F84529">
        <w:t xml:space="preserve">. </w:t>
      </w:r>
      <w:r w:rsidR="00ED444F">
        <w:t xml:space="preserve">During the geometry modification, a slight reduction was applied to the thickness of the top and bottom surfaces of the </w:t>
      </w:r>
      <w:proofErr w:type="spellStart"/>
      <w:r w:rsidR="00ED444F">
        <w:t>DfAM</w:t>
      </w:r>
      <w:proofErr w:type="spellEnd"/>
      <w:r w:rsidR="00ED444F">
        <w:t xml:space="preserve"> element, resulting in a negligible effect on the overall specimen mass. </w:t>
      </w:r>
      <w:r w:rsidRPr="00F84529">
        <w:t>In contrast, the original specimen reached a much lower peak load</w:t>
      </w:r>
      <w:r w:rsidR="00982A8B">
        <w:t>. It exhibited</w:t>
      </w:r>
      <w:r w:rsidRPr="00F84529">
        <w:t xml:space="preserve"> brittle failure, characterized by an abrupt drop in load following the </w:t>
      </w:r>
      <w:r w:rsidR="00982A8B">
        <w:t>sudden, explosive collapse</w:t>
      </w:r>
      <w:r w:rsidRPr="00F84529">
        <w:t xml:space="preserve"> of slender, disconnected </w:t>
      </w:r>
      <w:r w:rsidR="00982A8B">
        <w:t>columns</w:t>
      </w:r>
      <w:r w:rsidRPr="00F84529">
        <w:t xml:space="preserve"> (</w:t>
      </w:r>
      <w:r w:rsidRPr="00982A8B">
        <w:rPr>
          <w:color w:val="FF0000"/>
        </w:rPr>
        <w:t>Figs. 5</w:t>
      </w:r>
      <w:r w:rsidRPr="00F84529">
        <w:t xml:space="preserve"> and </w:t>
      </w:r>
      <w:r w:rsidRPr="00982A8B">
        <w:rPr>
          <w:color w:val="FF0000"/>
        </w:rPr>
        <w:t>6c</w:t>
      </w:r>
      <w:r w:rsidRPr="00F84529">
        <w:t>).</w:t>
      </w:r>
      <w:r w:rsidR="00982A8B">
        <w:t xml:space="preserve"> </w:t>
      </w:r>
      <w:r w:rsidR="00982A8B" w:rsidRPr="00982A8B">
        <w:t>The analysis of the failure shapes (</w:t>
      </w:r>
      <w:r w:rsidR="00982A8B" w:rsidRPr="00E8397B">
        <w:rPr>
          <w:color w:val="FF0000"/>
        </w:rPr>
        <w:t>Fig. 6</w:t>
      </w:r>
      <w:r w:rsidR="00982A8B" w:rsidRPr="00982A8B">
        <w:t xml:space="preserve">) highlights the differences between these two geometries. In the original configuration, localized buckling and premature collapse were observed along unsupported vertical elements, consistent with the fragmented topology produced by the optimization algorithm. The tailored </w:t>
      </w:r>
      <w:proofErr w:type="spellStart"/>
      <w:r w:rsidR="00982A8B" w:rsidRPr="00982A8B">
        <w:t>DfAM</w:t>
      </w:r>
      <w:proofErr w:type="spellEnd"/>
      <w:r w:rsidR="00982A8B" w:rsidRPr="00982A8B">
        <w:t xml:space="preserve"> specimen exhibited a more gradual </w:t>
      </w:r>
      <w:r w:rsidR="00982A8B" w:rsidRPr="00982A8B">
        <w:lastRenderedPageBreak/>
        <w:t>failure, featuring distributed crushing and deformation across the lattice, which suggests enhanced load redistribution and energy absorption.</w:t>
      </w:r>
    </w:p>
    <w:p w14:paraId="166C7765" w14:textId="73B84D72" w:rsidR="00982A8B" w:rsidRDefault="00E8397B" w:rsidP="00EA2B78">
      <w:r w:rsidRPr="00E8397B">
        <w:t xml:space="preserve">Overall, the test results confirm the structural benefits of geometric refinement following </w:t>
      </w:r>
      <w:proofErr w:type="spellStart"/>
      <w:r w:rsidRPr="00E8397B">
        <w:t>DfAM</w:t>
      </w:r>
      <w:proofErr w:type="spellEnd"/>
      <w:r w:rsidRPr="00E8397B">
        <w:t xml:space="preserve"> optimization, particularly in enhancing compressive stiffness and stability. These findings </w:t>
      </w:r>
      <w:r w:rsidR="00973DF1">
        <w:t>highlight the crucial role of expert intervention or algorithmic post-processing in transforming optimization outputs into functional, manufacturable lattice structures, thereby enhancing the capabilities of AI-driven optimization algorithms to design lightweight and structurally efficient constructions, as demonstrated</w:t>
      </w:r>
      <w:r w:rsidR="00ED444F">
        <w:t xml:space="preserve"> by </w:t>
      </w:r>
      <w:proofErr w:type="spellStart"/>
      <w:r w:rsidR="00ED444F">
        <w:t>Shamseldin</w:t>
      </w:r>
      <w:proofErr w:type="spellEnd"/>
      <w:r w:rsidR="00ED444F">
        <w:t xml:space="preserve"> et al. </w:t>
      </w:r>
      <w:r w:rsidR="00ED444F" w:rsidRPr="003B5ACC">
        <w:rPr>
          <w:color w:val="FF0000"/>
        </w:rPr>
        <w:t>[11]</w:t>
      </w:r>
      <w:r w:rsidRPr="00E8397B">
        <w:t>.</w:t>
      </w:r>
      <w:r w:rsidR="001E5420">
        <w:t xml:space="preserve"> The solution process presented by Garnevičius and Gribniak </w:t>
      </w:r>
      <w:r w:rsidR="001E5420" w:rsidRPr="001E5420">
        <w:rPr>
          <w:color w:val="FF0000"/>
        </w:rPr>
        <w:t>[12]</w:t>
      </w:r>
      <w:r w:rsidR="001E5420">
        <w:t>, depicting a sequence of improved geometries and precise modeling assumptions, offers a promising framework for the TO process. Nevertheless, reliable data is essential for confirming the optimization’s success, and AM technologies serve as a quick and dependable means to validate design solutions.</w:t>
      </w:r>
    </w:p>
    <w:p w14:paraId="4D85B48C" w14:textId="5BEC1C97" w:rsidR="004E69C8" w:rsidRDefault="004E69C8" w:rsidP="004E69C8">
      <w:pPr>
        <w:pStyle w:val="heading1"/>
      </w:pPr>
      <w:r>
        <w:t>Conclusions</w:t>
      </w:r>
    </w:p>
    <w:p w14:paraId="1D6C4C42" w14:textId="5AE71C92" w:rsidR="004E69C8" w:rsidRDefault="003617D4" w:rsidP="004E69C8">
      <w:pPr>
        <w:pStyle w:val="p1a"/>
      </w:pPr>
      <w:r w:rsidRPr="003617D4">
        <w:t>This study aims to establish a foundation for the future development of adaptive, AI-driven generative design frameworks. It presents manufacturable polymeric lattice structure designs and identifies algorithmic limitations that hinder automatic topology optimization</w:t>
      </w:r>
      <w:r w:rsidR="004527DB">
        <w:t xml:space="preserve"> (TO) </w:t>
      </w:r>
      <w:r w:rsidRPr="003617D4">
        <w:t xml:space="preserve">algorithms from delivering mechanically efficient solutions. By documenting the structural, geometric, and manufacturability challenges encountered during automated </w:t>
      </w:r>
      <w:r w:rsidR="004527DB">
        <w:t>TO and the expert-driven interventions required to address them, this study contributes to the development</w:t>
      </w:r>
      <w:r w:rsidRPr="003617D4">
        <w:t xml:space="preserve"> of data-informed design systems capable of producing functionally graded, performance-driven</w:t>
      </w:r>
      <w:r w:rsidR="004527DB">
        <w:t>, and buildable</w:t>
      </w:r>
      <w:r w:rsidRPr="003617D4">
        <w:t xml:space="preserve"> lattice shapes </w:t>
      </w:r>
      <w:r w:rsidR="00F664D0">
        <w:t>for</w:t>
      </w:r>
      <w:r w:rsidR="004527DB">
        <w:t xml:space="preserve"> additively manufactured </w:t>
      </w:r>
      <w:r w:rsidR="00DC1F91">
        <w:t xml:space="preserve">(AM) </w:t>
      </w:r>
      <w:r w:rsidR="004527DB">
        <w:t>structural objects</w:t>
      </w:r>
      <w:r w:rsidRPr="003617D4">
        <w:t xml:space="preserve">. This investigation </w:t>
      </w:r>
      <w:r w:rsidR="0078533D" w:rsidRPr="0078533D">
        <w:t>delivers</w:t>
      </w:r>
      <w:r w:rsidRPr="003617D4">
        <w:t xml:space="preserve"> the following essential </w:t>
      </w:r>
      <w:r w:rsidR="00A450E6">
        <w:t>outcomes</w:t>
      </w:r>
      <w:r w:rsidRPr="003617D4">
        <w:t>:</w:t>
      </w:r>
    </w:p>
    <w:p w14:paraId="542D71F8" w14:textId="14704A23" w:rsidR="001B186E" w:rsidRDefault="001B186E" w:rsidP="001B186E">
      <w:pPr>
        <w:pStyle w:val="ListParagraph"/>
        <w:numPr>
          <w:ilvl w:val="0"/>
          <w:numId w:val="10"/>
        </w:numPr>
        <w:ind w:left="357" w:hanging="357"/>
      </w:pPr>
      <w:r w:rsidRPr="0078533D">
        <w:t xml:space="preserve">This study presents a simplified, modal example of enhancing structural performance for a constant material volume distributed in a lattice structure, following </w:t>
      </w:r>
      <w:r>
        <w:t>the principles of design for additive manufacturing (</w:t>
      </w:r>
      <w:proofErr w:type="spellStart"/>
      <w:r>
        <w:t>DfAM</w:t>
      </w:r>
      <w:proofErr w:type="spellEnd"/>
      <w:r>
        <w:t>)</w:t>
      </w:r>
      <w:r w:rsidRPr="0078533D">
        <w:t>. The expert intervention ensures the solution’s efficiency, which was proven experimentally. The complexity of the assumed heuristic optimization defines the problem, which may involve AI-driven algorithms and substantially extend the current horizons of automatic optimization</w:t>
      </w:r>
      <w:r>
        <w:t>.</w:t>
      </w:r>
    </w:p>
    <w:p w14:paraId="15EC5F8E" w14:textId="4905F471" w:rsidR="00F352D1" w:rsidRDefault="0078533D" w:rsidP="00F352D1">
      <w:pPr>
        <w:pStyle w:val="ListParagraph"/>
        <w:numPr>
          <w:ilvl w:val="0"/>
          <w:numId w:val="10"/>
        </w:numPr>
        <w:ind w:left="357" w:hanging="357"/>
      </w:pPr>
      <w:r w:rsidRPr="0078533D">
        <w:t xml:space="preserve">The simplified modeling assumptions may distort TO </w:t>
      </w:r>
      <w:r w:rsidR="001B186E" w:rsidRPr="001B186E">
        <w:t>outputs</w:t>
      </w:r>
      <w:r w:rsidRPr="0078533D">
        <w:t xml:space="preserve"> from reaching structurally efficient solutions. On the other hand, </w:t>
      </w:r>
      <w:r w:rsidR="001E5420">
        <w:t>non-linear models complicate solution convergence, increasing both computational costs and risks of convergence loss</w:t>
      </w:r>
      <w:r w:rsidRPr="0078533D">
        <w:t xml:space="preserve">. </w:t>
      </w:r>
      <w:r w:rsidR="001B186E" w:rsidRPr="001B186E">
        <w:t>The staged solution process, representing the sequence of enhanced geometries and adequate elaboration of the modeling assumptions, embodies a promising solution structure</w:t>
      </w:r>
      <w:r w:rsidRPr="0078533D">
        <w:t xml:space="preserve">. However, reliable information is crucial for validating the success of the optimization, and AM technologies can provide a fast and reliable tool for verifying design solutions. Thus, this investigation suggests utilizing </w:t>
      </w:r>
      <w:proofErr w:type="spellStart"/>
      <w:r w:rsidRPr="0078533D">
        <w:t>DfAM</w:t>
      </w:r>
      <w:proofErr w:type="spellEnd"/>
      <w:r w:rsidRPr="0078533D">
        <w:t xml:space="preserve"> methodology to enhance optimization algorithms and procedures, which could be extended to a wide range of fabrication processes</w:t>
      </w:r>
      <w:r w:rsidR="001B186E" w:rsidRPr="001B186E">
        <w:t xml:space="preserve"> outside AM technologies</w:t>
      </w:r>
      <w:r w:rsidR="00DC1F91">
        <w:t>.</w:t>
      </w:r>
    </w:p>
    <w:p w14:paraId="7D7A12DB" w14:textId="77777777" w:rsidR="00F352D1" w:rsidRDefault="00F352D1" w:rsidP="00F352D1">
      <w:pPr>
        <w:pStyle w:val="heading1"/>
        <w:numPr>
          <w:ilvl w:val="0"/>
          <w:numId w:val="0"/>
        </w:numPr>
        <w:ind w:left="567" w:hanging="567"/>
      </w:pPr>
      <w:r w:rsidRPr="001855A0">
        <w:lastRenderedPageBreak/>
        <w:t>Acknowledgments</w:t>
      </w:r>
    </w:p>
    <w:p w14:paraId="4F325158" w14:textId="5C5EC39E" w:rsidR="00F352D1" w:rsidRPr="00EE426C" w:rsidRDefault="00F352D1" w:rsidP="00F352D1">
      <w:pPr>
        <w:pStyle w:val="p1a"/>
      </w:pPr>
      <w:r w:rsidRPr="00F352D1">
        <w:t>This research was conducted as part of the execution of the Project “Mission-driven Implementation of Science and Innovation Programs” (No. 02-002-P-0001), funded by the Economic Revitalization and Resilience Enhancement Plan “New Generation Lithuania</w:t>
      </w:r>
      <w:r>
        <w:t>.</w:t>
      </w:r>
      <w:r w:rsidRPr="00F352D1">
        <w:t>”</w:t>
      </w:r>
    </w:p>
    <w:p w14:paraId="4B7A5B3E" w14:textId="77777777" w:rsidR="00382277" w:rsidRDefault="009B2539" w:rsidP="00606587">
      <w:pPr>
        <w:pStyle w:val="heading1"/>
        <w:numPr>
          <w:ilvl w:val="0"/>
          <w:numId w:val="0"/>
        </w:numPr>
        <w:ind w:left="567" w:hanging="567"/>
      </w:pPr>
      <w:r>
        <w:t>References</w:t>
      </w:r>
    </w:p>
    <w:p w14:paraId="3C59A744" w14:textId="37D09869" w:rsidR="00D15F6F" w:rsidRDefault="008B142E" w:rsidP="00606587">
      <w:pPr>
        <w:pStyle w:val="referenceitem"/>
      </w:pPr>
      <w:r w:rsidRPr="008B142E">
        <w:t xml:space="preserve">Gribniak, </w:t>
      </w:r>
      <w:r>
        <w:t xml:space="preserve">V., </w:t>
      </w:r>
      <w:r w:rsidRPr="008B142E">
        <w:t xml:space="preserve">Rimkus, </w:t>
      </w:r>
      <w:r>
        <w:t xml:space="preserve">A., </w:t>
      </w:r>
      <w:r w:rsidRPr="008B142E">
        <w:t xml:space="preserve">Misiūnaitė, </w:t>
      </w:r>
      <w:r>
        <w:t>I.,</w:t>
      </w:r>
      <w:r w:rsidRPr="008B142E">
        <w:t xml:space="preserve"> </w:t>
      </w:r>
      <w:proofErr w:type="spellStart"/>
      <w:r w:rsidRPr="008B142E">
        <w:t>Zakaras</w:t>
      </w:r>
      <w:proofErr w:type="spellEnd"/>
      <w:r w:rsidRPr="008B142E">
        <w:t xml:space="preserve">, </w:t>
      </w:r>
      <w:r>
        <w:t xml:space="preserve">T. </w:t>
      </w:r>
      <w:r w:rsidRPr="008B142E">
        <w:t xml:space="preserve">Improving local stability of </w:t>
      </w:r>
      <w:proofErr w:type="spellStart"/>
      <w:r w:rsidRPr="008B142E">
        <w:t>aluminium</w:t>
      </w:r>
      <w:proofErr w:type="spellEnd"/>
      <w:r w:rsidRPr="008B142E">
        <w:t xml:space="preserve"> profile with low-modulus stiffeners: Experimental and numerical web buckling analysis</w:t>
      </w:r>
      <w:r>
        <w:t>.</w:t>
      </w:r>
      <w:r w:rsidRPr="008B142E">
        <w:t xml:space="preserve"> Thin-Walled Struct</w:t>
      </w:r>
      <w:r>
        <w:t>ures</w:t>
      </w:r>
      <w:r w:rsidRPr="008B142E">
        <w:t xml:space="preserve"> 172, 108858 </w:t>
      </w:r>
      <w:r>
        <w:t>(</w:t>
      </w:r>
      <w:r w:rsidRPr="008B142E">
        <w:t>2022</w:t>
      </w:r>
      <w:r>
        <w:t>)</w:t>
      </w:r>
      <w:r w:rsidRPr="008B142E">
        <w:t>.</w:t>
      </w:r>
      <w:r>
        <w:t xml:space="preserve"> </w:t>
      </w:r>
      <w:r w:rsidRPr="008B142E">
        <w:t>https://doi.org/10.1016/j.tws.2021.108858</w:t>
      </w:r>
    </w:p>
    <w:p w14:paraId="29A1549A" w14:textId="5FC89B4F" w:rsidR="00D15F6F" w:rsidRDefault="008B142E" w:rsidP="00606587">
      <w:pPr>
        <w:pStyle w:val="referenceitem"/>
      </w:pPr>
      <w:r w:rsidRPr="00D15F6F">
        <w:t>Misiūnaitė,</w:t>
      </w:r>
      <w:r>
        <w:t xml:space="preserve"> I.,</w:t>
      </w:r>
      <w:r w:rsidRPr="00D15F6F">
        <w:t xml:space="preserve"> Rimkus,</w:t>
      </w:r>
      <w:r>
        <w:t xml:space="preserve"> A.,</w:t>
      </w:r>
      <w:r w:rsidRPr="00D15F6F">
        <w:t xml:space="preserve"> Gribniak, </w:t>
      </w:r>
      <w:r>
        <w:t xml:space="preserve">V. </w:t>
      </w:r>
      <w:r w:rsidRPr="00D15F6F">
        <w:t>Developing a lightweight hybrid profile concept with a steel shell and polymeric lattice core for optimal mechanical performance</w:t>
      </w:r>
      <w:r>
        <w:t>.</w:t>
      </w:r>
      <w:r w:rsidRPr="00D15F6F">
        <w:t xml:space="preserve"> Compos</w:t>
      </w:r>
      <w:r>
        <w:t>ite</w:t>
      </w:r>
      <w:r w:rsidRPr="00D15F6F">
        <w:t xml:space="preserve"> Struct</w:t>
      </w:r>
      <w:r>
        <w:t>ures</w:t>
      </w:r>
      <w:r w:rsidRPr="00D15F6F">
        <w:t xml:space="preserve"> 340, 118169 </w:t>
      </w:r>
      <w:r>
        <w:t>(</w:t>
      </w:r>
      <w:r w:rsidRPr="00D15F6F">
        <w:t>2024</w:t>
      </w:r>
      <w:r>
        <w:t>)</w:t>
      </w:r>
      <w:r w:rsidRPr="00D15F6F">
        <w:t>.</w:t>
      </w:r>
      <w:r>
        <w:t xml:space="preserve"> </w:t>
      </w:r>
      <w:r w:rsidRPr="00D15F6F">
        <w:t>https://doi.org/10.1016/j.compstruct.2024.118169</w:t>
      </w:r>
    </w:p>
    <w:p w14:paraId="15E52A67" w14:textId="31CD22A9" w:rsidR="00D15F6F" w:rsidRDefault="008B142E" w:rsidP="00606587">
      <w:pPr>
        <w:pStyle w:val="referenceitem"/>
      </w:pPr>
      <w:r w:rsidRPr="008B142E">
        <w:t>Misiūnaitė,</w:t>
      </w:r>
      <w:r>
        <w:t xml:space="preserve"> I.,</w:t>
      </w:r>
      <w:r w:rsidRPr="008B142E">
        <w:t xml:space="preserve"> Rimkus,</w:t>
      </w:r>
      <w:r>
        <w:t xml:space="preserve"> A.,</w:t>
      </w:r>
      <w:r w:rsidRPr="008B142E">
        <w:t xml:space="preserve"> Gribniak, </w:t>
      </w:r>
      <w:r>
        <w:t xml:space="preserve">V. </w:t>
      </w:r>
      <w:r w:rsidRPr="008B142E">
        <w:t>Developing lightweight steel profile and lattice polymeric core composite for structural use</w:t>
      </w:r>
      <w:r>
        <w:t>.</w:t>
      </w:r>
      <w:r w:rsidRPr="008B142E">
        <w:t xml:space="preserve"> Thin-Walled Struct</w:t>
      </w:r>
      <w:r>
        <w:t>ures</w:t>
      </w:r>
      <w:r w:rsidRPr="008B142E">
        <w:t xml:space="preserve"> 206, 112697 </w:t>
      </w:r>
      <w:r>
        <w:t>(</w:t>
      </w:r>
      <w:r w:rsidRPr="008B142E">
        <w:t>2025</w:t>
      </w:r>
      <w:r>
        <w:t>)</w:t>
      </w:r>
      <w:r w:rsidRPr="008B142E">
        <w:t>.</w:t>
      </w:r>
      <w:r>
        <w:t xml:space="preserve"> </w:t>
      </w:r>
      <w:r w:rsidRPr="008B142E">
        <w:t>https://doi.org/10.1016/j.tws.2024.112697</w:t>
      </w:r>
    </w:p>
    <w:p w14:paraId="5BF5B9AC" w14:textId="4DDA6F31" w:rsidR="008B142E" w:rsidRDefault="00255E7A" w:rsidP="00606587">
      <w:pPr>
        <w:pStyle w:val="referenceitem"/>
      </w:pPr>
      <w:r w:rsidRPr="00255E7A">
        <w:t>Pan,</w:t>
      </w:r>
      <w:r>
        <w:t xml:space="preserve"> C.,</w:t>
      </w:r>
      <w:r w:rsidRPr="00255E7A">
        <w:t xml:space="preserve"> Han, </w:t>
      </w:r>
      <w:r>
        <w:t>Y.,</w:t>
      </w:r>
      <w:r w:rsidRPr="00255E7A">
        <w:t xml:space="preserve"> Lu, J. Design and optimization of lattice structures: A review</w:t>
      </w:r>
      <w:r>
        <w:t>.</w:t>
      </w:r>
      <w:r w:rsidRPr="00255E7A">
        <w:t xml:space="preserve"> Appl</w:t>
      </w:r>
      <w:r>
        <w:t>ied</w:t>
      </w:r>
      <w:r w:rsidRPr="00255E7A">
        <w:t xml:space="preserve"> Sci</w:t>
      </w:r>
      <w:r>
        <w:t>ences</w:t>
      </w:r>
      <w:r w:rsidRPr="00255E7A">
        <w:t xml:space="preserve"> 10</w:t>
      </w:r>
      <w:r>
        <w:t>(</w:t>
      </w:r>
      <w:r w:rsidRPr="00255E7A">
        <w:t>18</w:t>
      </w:r>
      <w:r>
        <w:t>),</w:t>
      </w:r>
      <w:r w:rsidRPr="00255E7A">
        <w:t xml:space="preserve"> 6374 </w:t>
      </w:r>
      <w:r>
        <w:t>(</w:t>
      </w:r>
      <w:r w:rsidRPr="00255E7A">
        <w:t>2020</w:t>
      </w:r>
      <w:r>
        <w:t>)</w:t>
      </w:r>
      <w:r w:rsidRPr="00255E7A">
        <w:t>.</w:t>
      </w:r>
      <w:r>
        <w:t xml:space="preserve"> </w:t>
      </w:r>
      <w:r w:rsidRPr="00255E7A">
        <w:t>https://doi.org/10.3390/app10186374</w:t>
      </w:r>
    </w:p>
    <w:p w14:paraId="277E8193" w14:textId="3CC2DD14" w:rsidR="009945C2" w:rsidRPr="009945C2" w:rsidRDefault="009945C2" w:rsidP="009945C2">
      <w:pPr>
        <w:pStyle w:val="referenceitem"/>
      </w:pPr>
      <w:proofErr w:type="spellStart"/>
      <w:r w:rsidRPr="009945C2">
        <w:t>Alkhatib</w:t>
      </w:r>
      <w:proofErr w:type="spellEnd"/>
      <w:r w:rsidRPr="009945C2">
        <w:t>, S.E.</w:t>
      </w:r>
      <w:r>
        <w:t>,</w:t>
      </w:r>
      <w:r w:rsidRPr="009945C2">
        <w:t xml:space="preserve"> </w:t>
      </w:r>
      <w:proofErr w:type="spellStart"/>
      <w:r w:rsidRPr="009945C2">
        <w:t>Karrech</w:t>
      </w:r>
      <w:proofErr w:type="spellEnd"/>
      <w:r w:rsidRPr="009945C2">
        <w:t>, A.</w:t>
      </w:r>
      <w:r>
        <w:t>,</w:t>
      </w:r>
      <w:r w:rsidRPr="009945C2">
        <w:t xml:space="preserve"> Sercombe, T.B. Isotropic energy absorption of topology optimized lattice structure</w:t>
      </w:r>
      <w:r>
        <w:t>.</w:t>
      </w:r>
      <w:r w:rsidRPr="009945C2">
        <w:t xml:space="preserve"> Thin-Walled Struct</w:t>
      </w:r>
      <w:r>
        <w:t>ures</w:t>
      </w:r>
      <w:r w:rsidRPr="009945C2">
        <w:t xml:space="preserve"> 182, 110220 </w:t>
      </w:r>
      <w:r>
        <w:t>(</w:t>
      </w:r>
      <w:r w:rsidRPr="009945C2">
        <w:t>2023</w:t>
      </w:r>
      <w:r>
        <w:t>)</w:t>
      </w:r>
      <w:r w:rsidRPr="009945C2">
        <w:t>.</w:t>
      </w:r>
      <w:r>
        <w:t xml:space="preserve"> </w:t>
      </w:r>
      <w:r w:rsidRPr="009945C2">
        <w:t>https://doi.org/10.1016/j.tws.2022.110220</w:t>
      </w:r>
    </w:p>
    <w:p w14:paraId="5E088A58" w14:textId="5CCD4EEF" w:rsidR="00255E7A" w:rsidRPr="009945C2" w:rsidRDefault="00255E7A" w:rsidP="00606587">
      <w:pPr>
        <w:pStyle w:val="referenceitem"/>
      </w:pPr>
      <w:proofErr w:type="spellStart"/>
      <w:r w:rsidRPr="009945C2">
        <w:t>Nagesha</w:t>
      </w:r>
      <w:proofErr w:type="spellEnd"/>
      <w:r w:rsidRPr="009945C2">
        <w:t xml:space="preserve">, B., Dinesh, A.N., Prakash, R.S. Additive manufactured high performance topology optimized lattice structure: Compressive </w:t>
      </w:r>
      <w:proofErr w:type="spellStart"/>
      <w:r w:rsidRPr="009945C2">
        <w:t>behaviour</w:t>
      </w:r>
      <w:proofErr w:type="spellEnd"/>
      <w:r w:rsidRPr="009945C2">
        <w:t xml:space="preserve"> and flow heat transfer characteristics. </w:t>
      </w:r>
      <w:r w:rsidR="009945C2" w:rsidRPr="009945C2">
        <w:t>Case Studies in Thermal Engineering</w:t>
      </w:r>
      <w:r w:rsidRPr="009945C2">
        <w:t xml:space="preserve"> 61, 105097 </w:t>
      </w:r>
      <w:r w:rsidR="009945C2" w:rsidRPr="009945C2">
        <w:t>(</w:t>
      </w:r>
      <w:r w:rsidRPr="009945C2">
        <w:t>2024</w:t>
      </w:r>
      <w:r w:rsidR="009945C2" w:rsidRPr="009945C2">
        <w:t>)</w:t>
      </w:r>
      <w:r w:rsidRPr="009945C2">
        <w:t>.</w:t>
      </w:r>
      <w:r w:rsidR="009945C2" w:rsidRPr="009945C2">
        <w:t xml:space="preserve"> https://doi.org/10.1016/j.csite.2024.105097</w:t>
      </w:r>
    </w:p>
    <w:p w14:paraId="564B88C5" w14:textId="731850BE" w:rsidR="009945C2" w:rsidRPr="009945C2" w:rsidRDefault="009945C2" w:rsidP="00606587">
      <w:pPr>
        <w:pStyle w:val="referenceitem"/>
      </w:pPr>
      <w:proofErr w:type="spellStart"/>
      <w:r w:rsidRPr="009945C2">
        <w:t>Ráž</w:t>
      </w:r>
      <w:proofErr w:type="spellEnd"/>
      <w:r w:rsidRPr="009945C2">
        <w:t>, K.</w:t>
      </w:r>
      <w:r>
        <w:t>,</w:t>
      </w:r>
      <w:r w:rsidRPr="009945C2">
        <w:t xml:space="preserve"> </w:t>
      </w:r>
      <w:proofErr w:type="spellStart"/>
      <w:r w:rsidRPr="009945C2">
        <w:t>Chval</w:t>
      </w:r>
      <w:proofErr w:type="spellEnd"/>
      <w:r w:rsidRPr="009945C2">
        <w:t>, Z.</w:t>
      </w:r>
      <w:r>
        <w:t>,</w:t>
      </w:r>
      <w:r w:rsidRPr="009945C2">
        <w:t xml:space="preserve"> Pereira, M. Lattice structures—Mechanical description with respect to additive manufacturing</w:t>
      </w:r>
      <w:r>
        <w:t>.</w:t>
      </w:r>
      <w:r w:rsidRPr="009945C2">
        <w:t xml:space="preserve"> Mater</w:t>
      </w:r>
      <w:r>
        <w:t>ials</w:t>
      </w:r>
      <w:r w:rsidRPr="009945C2">
        <w:t xml:space="preserve"> 17</w:t>
      </w:r>
      <w:r>
        <w:t>(</w:t>
      </w:r>
      <w:r w:rsidRPr="009945C2">
        <w:t>21</w:t>
      </w:r>
      <w:r>
        <w:t>),</w:t>
      </w:r>
      <w:r w:rsidRPr="009945C2">
        <w:t xml:space="preserve"> 5298 </w:t>
      </w:r>
      <w:r w:rsidR="001C570B">
        <w:t>(</w:t>
      </w:r>
      <w:r w:rsidRPr="009945C2">
        <w:t>2024</w:t>
      </w:r>
      <w:r w:rsidR="001C570B">
        <w:t>)</w:t>
      </w:r>
      <w:r w:rsidRPr="009945C2">
        <w:t>.</w:t>
      </w:r>
      <w:r w:rsidR="001C570B">
        <w:t xml:space="preserve"> </w:t>
      </w:r>
      <w:r w:rsidR="001C570B" w:rsidRPr="001C570B">
        <w:t>https://doi.org/10.3390/ma17215298</w:t>
      </w:r>
    </w:p>
    <w:p w14:paraId="63DEBFFC" w14:textId="13A66632" w:rsidR="009945C2" w:rsidRPr="009945C2" w:rsidRDefault="001C570B" w:rsidP="00606587">
      <w:pPr>
        <w:pStyle w:val="referenceitem"/>
      </w:pPr>
      <w:r w:rsidRPr="001C570B">
        <w:t>Hamza, A.</w:t>
      </w:r>
      <w:r>
        <w:t>,</w:t>
      </w:r>
      <w:r w:rsidRPr="001C570B">
        <w:t xml:space="preserve"> </w:t>
      </w:r>
      <w:proofErr w:type="spellStart"/>
      <w:r w:rsidRPr="001C570B">
        <w:t>Bousnina</w:t>
      </w:r>
      <w:proofErr w:type="spellEnd"/>
      <w:r w:rsidRPr="001C570B">
        <w:t>, K.</w:t>
      </w:r>
      <w:r>
        <w:t>,</w:t>
      </w:r>
      <w:r w:rsidRPr="001C570B">
        <w:t xml:space="preserve"> </w:t>
      </w:r>
      <w:proofErr w:type="spellStart"/>
      <w:r w:rsidRPr="001C570B">
        <w:t>Dridi</w:t>
      </w:r>
      <w:proofErr w:type="spellEnd"/>
      <w:r w:rsidRPr="001C570B">
        <w:t>, I.</w:t>
      </w:r>
      <w:r>
        <w:t>,</w:t>
      </w:r>
      <w:r w:rsidRPr="001C570B">
        <w:t xml:space="preserve"> Ben Yahia, N. Revolutionizing automotive design: The impact of additive manufacturing. Vehicles 7(1), 24 </w:t>
      </w:r>
      <w:r>
        <w:t>(</w:t>
      </w:r>
      <w:r w:rsidRPr="001C570B">
        <w:t>2025</w:t>
      </w:r>
      <w:r>
        <w:t>)</w:t>
      </w:r>
      <w:r w:rsidRPr="001C570B">
        <w:t>. https://doi.org/10.3390/vehicles7010024</w:t>
      </w:r>
    </w:p>
    <w:p w14:paraId="79013C98" w14:textId="68D7FD86" w:rsidR="001C570B" w:rsidRDefault="00F84529" w:rsidP="00606587">
      <w:pPr>
        <w:pStyle w:val="referenceitem"/>
      </w:pPr>
      <w:r w:rsidRPr="00F84529">
        <w:t>Park, Y.</w:t>
      </w:r>
      <w:r>
        <w:t>,</w:t>
      </w:r>
      <w:r w:rsidRPr="00F84529">
        <w:t xml:space="preserve"> Lee, S. Characterization of PLA/LW-PLA composite materials manufactured by dual-nozzle FDM 3D-printing processes. Polymers 16(20), 2852 </w:t>
      </w:r>
      <w:r>
        <w:t>(</w:t>
      </w:r>
      <w:r w:rsidRPr="00F84529">
        <w:t>2024</w:t>
      </w:r>
      <w:r>
        <w:t>)</w:t>
      </w:r>
      <w:r w:rsidRPr="00F84529">
        <w:t>. https://doi.org/10.3390/polym16202852</w:t>
      </w:r>
    </w:p>
    <w:p w14:paraId="66959AC9" w14:textId="13223C5F" w:rsidR="00F84529" w:rsidRDefault="00F84529" w:rsidP="00606587">
      <w:pPr>
        <w:pStyle w:val="referenceitem"/>
      </w:pPr>
      <w:proofErr w:type="spellStart"/>
      <w:r w:rsidRPr="00F84529">
        <w:t>Vălean</w:t>
      </w:r>
      <w:proofErr w:type="spellEnd"/>
      <w:r w:rsidRPr="00F84529">
        <w:t>, C.</w:t>
      </w:r>
      <w:r>
        <w:t>,</w:t>
      </w:r>
      <w:r w:rsidRPr="00F84529">
        <w:t xml:space="preserve"> </w:t>
      </w:r>
      <w:proofErr w:type="spellStart"/>
      <w:r w:rsidRPr="00F84529">
        <w:t>Marșavina</w:t>
      </w:r>
      <w:proofErr w:type="spellEnd"/>
      <w:r w:rsidRPr="00F84529">
        <w:t>, L.</w:t>
      </w:r>
      <w:r>
        <w:t>,</w:t>
      </w:r>
      <w:r w:rsidRPr="00F84529">
        <w:t xml:space="preserve"> </w:t>
      </w:r>
      <w:proofErr w:type="spellStart"/>
      <w:r w:rsidRPr="00F84529">
        <w:t>Linul</w:t>
      </w:r>
      <w:proofErr w:type="spellEnd"/>
      <w:r w:rsidRPr="00F84529">
        <w:t xml:space="preserve">, E. Compressive behavior of additively manufactured lightweight structures: Infill density optimization based on energy absorption diagrams. Journal of Materials Research and Technology 33, 4952–4967 </w:t>
      </w:r>
      <w:r>
        <w:t>(</w:t>
      </w:r>
      <w:r w:rsidRPr="00F84529">
        <w:t>2024</w:t>
      </w:r>
      <w:r>
        <w:t>)</w:t>
      </w:r>
      <w:r w:rsidRPr="00F84529">
        <w:t xml:space="preserve">. </w:t>
      </w:r>
      <w:hyperlink r:id="rId15" w:history="1">
        <w:r w:rsidR="003B5ACC" w:rsidRPr="00D46A6F">
          <w:rPr>
            <w:rStyle w:val="Hyperlink"/>
          </w:rPr>
          <w:t>https://doi.org/10.1016/j.jmrt.2024.10.143</w:t>
        </w:r>
      </w:hyperlink>
    </w:p>
    <w:p w14:paraId="62373412" w14:textId="0457D908" w:rsidR="003B5ACC" w:rsidRDefault="003B5ACC" w:rsidP="00606587">
      <w:pPr>
        <w:pStyle w:val="referenceitem"/>
      </w:pPr>
      <w:proofErr w:type="spellStart"/>
      <w:r w:rsidRPr="003B5ACC">
        <w:t>Shamseldin</w:t>
      </w:r>
      <w:proofErr w:type="spellEnd"/>
      <w:r w:rsidRPr="003B5ACC">
        <w:t xml:space="preserve">, A., </w:t>
      </w:r>
      <w:proofErr w:type="spellStart"/>
      <w:r w:rsidRPr="003B5ACC">
        <w:t>Abido</w:t>
      </w:r>
      <w:proofErr w:type="spellEnd"/>
      <w:r w:rsidRPr="003B5ACC">
        <w:t xml:space="preserve">, M. A., Alofi, A. AI-driven optimization of dynamic vibration absorbers with hydraulic amplifier and mechanical </w:t>
      </w:r>
      <w:proofErr w:type="spellStart"/>
      <w:r w:rsidRPr="003B5ACC">
        <w:t>inerter</w:t>
      </w:r>
      <w:proofErr w:type="spellEnd"/>
      <w:r w:rsidRPr="003B5ACC">
        <w:t xml:space="preserve"> integration. Frontiers in Mechanical Engineering 10, 1464692</w:t>
      </w:r>
      <w:r>
        <w:t xml:space="preserve"> </w:t>
      </w:r>
      <w:r w:rsidRPr="003B5ACC">
        <w:t xml:space="preserve">(2024). </w:t>
      </w:r>
      <w:hyperlink r:id="rId16" w:history="1">
        <w:r w:rsidR="001E5420" w:rsidRPr="00D46A6F">
          <w:rPr>
            <w:rStyle w:val="Hyperlink"/>
          </w:rPr>
          <w:t>https://doi.org/10.3389/fmech.2024.1464692</w:t>
        </w:r>
      </w:hyperlink>
    </w:p>
    <w:p w14:paraId="25164E88" w14:textId="1C10FAAF" w:rsidR="001E5420" w:rsidRDefault="001E5420" w:rsidP="00606587">
      <w:pPr>
        <w:pStyle w:val="referenceitem"/>
      </w:pPr>
      <w:r w:rsidRPr="001E5420">
        <w:t>Garnevičius, M.</w:t>
      </w:r>
      <w:r>
        <w:t>,</w:t>
      </w:r>
      <w:r w:rsidRPr="001E5420">
        <w:t xml:space="preserve"> Gribniak, V. Developing a hybrid FRP-concrete composite beam. Scientific Reports 12, 16237</w:t>
      </w:r>
      <w:r>
        <w:t xml:space="preserve"> (2</w:t>
      </w:r>
      <w:r w:rsidRPr="001E5420">
        <w:t>022</w:t>
      </w:r>
      <w:r>
        <w:t>)</w:t>
      </w:r>
      <w:r w:rsidRPr="001E5420">
        <w:t>. https://doi.org/10.1038/s41598-022-20666-x</w:t>
      </w:r>
    </w:p>
    <w:sectPr w:rsidR="001E5420" w:rsidSect="009F7FCE">
      <w:headerReference w:type="even" r:id="rId17"/>
      <w:headerReference w:type="default" r:id="rId18"/>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92DE7" w14:textId="77777777" w:rsidR="006739AA" w:rsidRDefault="006739AA">
      <w:r>
        <w:separator/>
      </w:r>
    </w:p>
  </w:endnote>
  <w:endnote w:type="continuationSeparator" w:id="0">
    <w:p w14:paraId="77365828" w14:textId="77777777" w:rsidR="006739AA" w:rsidRDefault="00673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82C5F" w14:textId="77777777" w:rsidR="006739AA" w:rsidRDefault="006739AA" w:rsidP="009F7FCE">
      <w:pPr>
        <w:ind w:firstLine="0"/>
      </w:pPr>
      <w:r>
        <w:separator/>
      </w:r>
    </w:p>
  </w:footnote>
  <w:footnote w:type="continuationSeparator" w:id="0">
    <w:p w14:paraId="36511594" w14:textId="77777777" w:rsidR="006739AA" w:rsidRDefault="006739AA"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6B072" w14:textId="77777777" w:rsidR="009B2539" w:rsidRDefault="009B2539" w:rsidP="00F321B4">
    <w:pPr>
      <w:pStyle w:val="Header"/>
    </w:pPr>
    <w:r>
      <w:fldChar w:fldCharType="begin"/>
    </w:r>
    <w:r>
      <w:instrText>PAGE   \* MERGEFORMAT</w:instrText>
    </w:r>
    <w:r>
      <w:fldChar w:fldCharType="separate"/>
    </w:r>
    <w:r w:rsidR="00DC2CA9">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6056A" w14:textId="77777777" w:rsidR="002D48C5" w:rsidRDefault="002D48C5" w:rsidP="002D48C5">
    <w:pPr>
      <w:pStyle w:val="Header"/>
      <w:jc w:val="right"/>
    </w:pPr>
    <w:r>
      <w:fldChar w:fldCharType="begin"/>
    </w:r>
    <w:r>
      <w:instrText>PAGE   \* MERGEFORMAT</w:instrText>
    </w:r>
    <w:r>
      <w:fldChar w:fldCharType="separate"/>
    </w:r>
    <w:r w:rsidR="001A02F0">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83E54"/>
    <w:multiLevelType w:val="hybridMultilevel"/>
    <w:tmpl w:val="BA5A807E"/>
    <w:lvl w:ilvl="0" w:tplc="0427000F">
      <w:start w:val="1"/>
      <w:numFmt w:val="decimal"/>
      <w:lvlText w:val="%1."/>
      <w:lvlJc w:val="left"/>
      <w:pPr>
        <w:ind w:left="947" w:hanging="360"/>
      </w:pPr>
    </w:lvl>
    <w:lvl w:ilvl="1" w:tplc="04270019" w:tentative="1">
      <w:start w:val="1"/>
      <w:numFmt w:val="lowerLetter"/>
      <w:lvlText w:val="%2."/>
      <w:lvlJc w:val="left"/>
      <w:pPr>
        <w:ind w:left="1667" w:hanging="360"/>
      </w:pPr>
    </w:lvl>
    <w:lvl w:ilvl="2" w:tplc="0427001B" w:tentative="1">
      <w:start w:val="1"/>
      <w:numFmt w:val="lowerRoman"/>
      <w:lvlText w:val="%3."/>
      <w:lvlJc w:val="right"/>
      <w:pPr>
        <w:ind w:left="2387" w:hanging="180"/>
      </w:pPr>
    </w:lvl>
    <w:lvl w:ilvl="3" w:tplc="0427000F" w:tentative="1">
      <w:start w:val="1"/>
      <w:numFmt w:val="decimal"/>
      <w:lvlText w:val="%4."/>
      <w:lvlJc w:val="left"/>
      <w:pPr>
        <w:ind w:left="3107" w:hanging="360"/>
      </w:pPr>
    </w:lvl>
    <w:lvl w:ilvl="4" w:tplc="04270019" w:tentative="1">
      <w:start w:val="1"/>
      <w:numFmt w:val="lowerLetter"/>
      <w:lvlText w:val="%5."/>
      <w:lvlJc w:val="left"/>
      <w:pPr>
        <w:ind w:left="3827" w:hanging="360"/>
      </w:pPr>
    </w:lvl>
    <w:lvl w:ilvl="5" w:tplc="0427001B" w:tentative="1">
      <w:start w:val="1"/>
      <w:numFmt w:val="lowerRoman"/>
      <w:lvlText w:val="%6."/>
      <w:lvlJc w:val="right"/>
      <w:pPr>
        <w:ind w:left="4547" w:hanging="180"/>
      </w:pPr>
    </w:lvl>
    <w:lvl w:ilvl="6" w:tplc="0427000F" w:tentative="1">
      <w:start w:val="1"/>
      <w:numFmt w:val="decimal"/>
      <w:lvlText w:val="%7."/>
      <w:lvlJc w:val="left"/>
      <w:pPr>
        <w:ind w:left="5267" w:hanging="360"/>
      </w:pPr>
    </w:lvl>
    <w:lvl w:ilvl="7" w:tplc="04270019" w:tentative="1">
      <w:start w:val="1"/>
      <w:numFmt w:val="lowerLetter"/>
      <w:lvlText w:val="%8."/>
      <w:lvlJc w:val="left"/>
      <w:pPr>
        <w:ind w:left="5987" w:hanging="360"/>
      </w:pPr>
    </w:lvl>
    <w:lvl w:ilvl="8" w:tplc="0427001B" w:tentative="1">
      <w:start w:val="1"/>
      <w:numFmt w:val="lowerRoman"/>
      <w:lvlText w:val="%9."/>
      <w:lvlJc w:val="right"/>
      <w:pPr>
        <w:ind w:left="6707" w:hanging="180"/>
      </w:pPr>
    </w:lvl>
  </w:abstractNum>
  <w:abstractNum w:abstractNumId="1"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2"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3"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1"/>
  </w:num>
  <w:num w:numId="2">
    <w:abstractNumId w:val="1"/>
  </w:num>
  <w:num w:numId="3">
    <w:abstractNumId w:val="2"/>
  </w:num>
  <w:num w:numId="4">
    <w:abstractNumId w:val="2"/>
  </w:num>
  <w:num w:numId="5">
    <w:abstractNumId w:val="4"/>
  </w:num>
  <w:num w:numId="6">
    <w:abstractNumId w:val="4"/>
  </w:num>
  <w:num w:numId="7">
    <w:abstractNumId w:val="3"/>
  </w:num>
  <w:num w:numId="8">
    <w:abstractNumId w:val="5"/>
  </w:num>
  <w:num w:numId="9">
    <w:abstractNumId w:val="5"/>
  </w:num>
  <w:num w:numId="1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FCE"/>
    <w:rsid w:val="00007B52"/>
    <w:rsid w:val="00034F49"/>
    <w:rsid w:val="000A518F"/>
    <w:rsid w:val="000B2B86"/>
    <w:rsid w:val="000F2952"/>
    <w:rsid w:val="00192633"/>
    <w:rsid w:val="001A02F0"/>
    <w:rsid w:val="001B186E"/>
    <w:rsid w:val="001C570B"/>
    <w:rsid w:val="001E5420"/>
    <w:rsid w:val="00216C3C"/>
    <w:rsid w:val="00255E7A"/>
    <w:rsid w:val="00257C29"/>
    <w:rsid w:val="0028132C"/>
    <w:rsid w:val="00294FBD"/>
    <w:rsid w:val="002D48C5"/>
    <w:rsid w:val="002D5C27"/>
    <w:rsid w:val="003006F3"/>
    <w:rsid w:val="003617D4"/>
    <w:rsid w:val="00382277"/>
    <w:rsid w:val="003B5ACC"/>
    <w:rsid w:val="00432964"/>
    <w:rsid w:val="004360C4"/>
    <w:rsid w:val="004527DB"/>
    <w:rsid w:val="00463EDE"/>
    <w:rsid w:val="004906C3"/>
    <w:rsid w:val="004A4540"/>
    <w:rsid w:val="004B15D7"/>
    <w:rsid w:val="004C76C7"/>
    <w:rsid w:val="004E69C8"/>
    <w:rsid w:val="006739AA"/>
    <w:rsid w:val="00693015"/>
    <w:rsid w:val="006F6B06"/>
    <w:rsid w:val="00721797"/>
    <w:rsid w:val="00726292"/>
    <w:rsid w:val="0078533D"/>
    <w:rsid w:val="00811B08"/>
    <w:rsid w:val="00847AE2"/>
    <w:rsid w:val="008B142E"/>
    <w:rsid w:val="008F2D4C"/>
    <w:rsid w:val="00950862"/>
    <w:rsid w:val="00973DF1"/>
    <w:rsid w:val="00982A8B"/>
    <w:rsid w:val="009930E4"/>
    <w:rsid w:val="009945C2"/>
    <w:rsid w:val="009B2539"/>
    <w:rsid w:val="009E2B1A"/>
    <w:rsid w:val="009F7FCE"/>
    <w:rsid w:val="00A450E6"/>
    <w:rsid w:val="00A553FF"/>
    <w:rsid w:val="00A57BD8"/>
    <w:rsid w:val="00B23481"/>
    <w:rsid w:val="00B32591"/>
    <w:rsid w:val="00B868C6"/>
    <w:rsid w:val="00BE3F0B"/>
    <w:rsid w:val="00CA159E"/>
    <w:rsid w:val="00CB21B9"/>
    <w:rsid w:val="00CF5037"/>
    <w:rsid w:val="00D04B31"/>
    <w:rsid w:val="00D15F6F"/>
    <w:rsid w:val="00D52D53"/>
    <w:rsid w:val="00D5579C"/>
    <w:rsid w:val="00D6107B"/>
    <w:rsid w:val="00D66F35"/>
    <w:rsid w:val="00DC1F91"/>
    <w:rsid w:val="00DC2CA9"/>
    <w:rsid w:val="00E44CB0"/>
    <w:rsid w:val="00E603C7"/>
    <w:rsid w:val="00E8397B"/>
    <w:rsid w:val="00EA2B78"/>
    <w:rsid w:val="00EB762B"/>
    <w:rsid w:val="00EC27E1"/>
    <w:rsid w:val="00ED444F"/>
    <w:rsid w:val="00ED473E"/>
    <w:rsid w:val="00F321B4"/>
    <w:rsid w:val="00F352D1"/>
    <w:rsid w:val="00F57A62"/>
    <w:rsid w:val="00F664D0"/>
    <w:rsid w:val="00F84529"/>
    <w:rsid w:val="00FD10A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159CAC"/>
  <w15:docId w15:val="{49EAAB13-5422-4A73-9E73-D3A8766B9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semiHidden="1"/>
    <w:lsdException w:name="heading 2" w:semiHidden="1"/>
    <w:lsdException w:name="heading 3" w:semiHidden="1"/>
    <w:lsdException w:name="heading 4" w:semiHidden="1"/>
    <w:lsdException w:name="heading 5" w:semiHidden="1"/>
    <w:lsdException w:name="heading 6" w:semiHidden="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lsdException w:name="Emphasis" w:semiHidden="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7667"/>
    <w:pPr>
      <w:overflowPunct w:val="0"/>
      <w:autoSpaceDE w:val="0"/>
      <w:autoSpaceDN w:val="0"/>
      <w:adjustRightInd w:val="0"/>
      <w:spacing w:line="240" w:lineRule="atLeast"/>
      <w:ind w:firstLine="227"/>
      <w:jc w:val="both"/>
      <w:textAlignment w:val="baseline"/>
    </w:pPr>
    <w:rPr>
      <w:lang w:val="en-US" w:eastAsia="en-US"/>
    </w:rPr>
  </w:style>
  <w:style w:type="paragraph" w:styleId="Heading10">
    <w:name w:val="heading 1"/>
    <w:basedOn w:val="Normal"/>
    <w:next w:val="p1a"/>
    <w:semiHidden/>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semiHidden/>
    <w:unhideWhenUsed/>
    <w:rPr>
      <w:position w:val="0"/>
      <w:vertAlign w:val="superscript"/>
    </w:rPr>
  </w:style>
  <w:style w:type="paragraph" w:styleId="Footer">
    <w:name w:val="footer"/>
    <w:basedOn w:val="Normal"/>
    <w:semiHidden/>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rPr>
      <w:b/>
    </w:rPr>
  </w:style>
  <w:style w:type="character" w:customStyle="1" w:styleId="heading40">
    <w:name w:val="heading4"/>
    <w:rPr>
      <w:i/>
    </w:rPr>
  </w:style>
  <w:style w:type="numbering" w:customStyle="1" w:styleId="headings">
    <w:name w:val="headings"/>
    <w:basedOn w:val="arabnumitem"/>
    <w:pPr>
      <w:numPr>
        <w:numId w:val="7"/>
      </w:numPr>
    </w:pPr>
  </w:style>
  <w:style w:type="character" w:styleId="Hyperlink">
    <w:name w:val="Hyperlink"/>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semiHidden/>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rPr>
      <w:rFonts w:ascii="Courier" w:hAnsi="Courier"/>
      <w:noProof/>
    </w:rPr>
  </w:style>
  <w:style w:type="character" w:customStyle="1" w:styleId="ORCID">
    <w:name w:val="ORCID"/>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character" w:styleId="CommentReference">
    <w:name w:val="annotation reference"/>
    <w:basedOn w:val="DefaultParagraphFont"/>
    <w:semiHidden/>
    <w:rsid w:val="004E69C8"/>
    <w:rPr>
      <w:sz w:val="16"/>
      <w:szCs w:val="16"/>
    </w:rPr>
  </w:style>
  <w:style w:type="paragraph" w:styleId="CommentText">
    <w:name w:val="annotation text"/>
    <w:basedOn w:val="Normal"/>
    <w:link w:val="CommentTextChar"/>
    <w:semiHidden/>
    <w:rsid w:val="004E69C8"/>
    <w:pPr>
      <w:spacing w:line="240" w:lineRule="auto"/>
    </w:pPr>
  </w:style>
  <w:style w:type="character" w:customStyle="1" w:styleId="CommentTextChar">
    <w:name w:val="Comment Text Char"/>
    <w:basedOn w:val="DefaultParagraphFont"/>
    <w:link w:val="CommentText"/>
    <w:semiHidden/>
    <w:rsid w:val="004E69C8"/>
    <w:rPr>
      <w:lang w:val="en-US" w:eastAsia="en-US"/>
    </w:rPr>
  </w:style>
  <w:style w:type="paragraph" w:styleId="CommentSubject">
    <w:name w:val="annotation subject"/>
    <w:basedOn w:val="CommentText"/>
    <w:next w:val="CommentText"/>
    <w:link w:val="CommentSubjectChar"/>
    <w:semiHidden/>
    <w:rsid w:val="004E69C8"/>
    <w:rPr>
      <w:b/>
      <w:bCs/>
    </w:rPr>
  </w:style>
  <w:style w:type="character" w:customStyle="1" w:styleId="CommentSubjectChar">
    <w:name w:val="Comment Subject Char"/>
    <w:basedOn w:val="CommentTextChar"/>
    <w:link w:val="CommentSubject"/>
    <w:semiHidden/>
    <w:rsid w:val="004E69C8"/>
    <w:rPr>
      <w:b/>
      <w:bCs/>
      <w:lang w:val="en-US" w:eastAsia="en-US"/>
    </w:rPr>
  </w:style>
  <w:style w:type="character" w:styleId="UnresolvedMention">
    <w:name w:val="Unresolved Mention"/>
    <w:basedOn w:val="DefaultParagraphFont"/>
    <w:uiPriority w:val="99"/>
    <w:semiHidden/>
    <w:unhideWhenUsed/>
    <w:rsid w:val="003B5ACC"/>
    <w:rPr>
      <w:color w:val="605E5C"/>
      <w:shd w:val="clear" w:color="auto" w:fill="E1DFDD"/>
    </w:rPr>
  </w:style>
  <w:style w:type="paragraph" w:styleId="ListParagraph">
    <w:name w:val="List Paragraph"/>
    <w:basedOn w:val="Normal"/>
    <w:semiHidden/>
    <w:rsid w:val="00F352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3389/fmech.2024.146469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doi.org/10.1016/j.jmrt.2024.10.143" TargetMode="Externa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AE2AF5-9E03-4434-9CF6-5D16181AF4A7}">
  <ds:schemaRefs>
    <ds:schemaRef ds:uri="http://schemas.openxmlformats.org/officeDocument/2006/bibliography"/>
  </ds:schemaRefs>
</ds:datastoreItem>
</file>

<file path=docMetadata/LabelInfo.xml><?xml version="1.0" encoding="utf-8"?>
<clbl:labelList xmlns:clbl="http://schemas.microsoft.com/office/2020/mipLabelMetadata">
  <clbl:label id="{2b7fce66-bf2d-46b5-b59a-9f0018501bcd}" enabled="1" method="Standard" siteId="{f8a213d2-8f6c-400d-9e74-4e8b475316c6}" contentBits="0" removed="0"/>
</clbl:labelList>
</file>

<file path=docProps/app.xml><?xml version="1.0" encoding="utf-8"?>
<Properties xmlns="http://schemas.openxmlformats.org/officeDocument/2006/extended-properties" xmlns:vt="http://schemas.openxmlformats.org/officeDocument/2006/docPropsVTypes">
  <Template>Normal.dotm</Template>
  <TotalTime>519</TotalTime>
  <Pages>10</Pages>
  <Words>3519</Words>
  <Characters>22917</Characters>
  <Application>Microsoft Office Word</Application>
  <DocSecurity>0</DocSecurity>
  <Lines>346</Lines>
  <Paragraphs>57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dataspect IT-Services, Neckargemuend, Germany</Company>
  <LinksUpToDate>false</LinksUpToDate>
  <CharactersWithSpaces>26372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Richter</dc:creator>
  <dc:description>Formats and macros for Springer Lecture Notes</dc:description>
  <cp:lastModifiedBy>Viktor Gribniak</cp:lastModifiedBy>
  <cp:revision>39</cp:revision>
  <dcterms:created xsi:type="dcterms:W3CDTF">2025-05-12T17:00:00Z</dcterms:created>
  <dcterms:modified xsi:type="dcterms:W3CDTF">2025-05-14T06:26:00Z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f20b8dbe-8381-4ba4-8094-a25573ecc3d9</vt:lpwstr>
  </property>
</Properties>
</file>