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5" Type="http://schemas.microsoft.com/office/2007/relationships/ui/extensibility" Target="customUI/customUI14.xml"/><Relationship Id="rId6" Type="http://schemas.openxmlformats.org/package/2006/relationships/metadata/core-properties" Target="docProps/core.xml"/><Relationship Id="rId7" Type="http://schemas.openxmlformats.org/officeDocument/2006/relationships/extended-properties" Target="docProps/app.xml"/><Relationship Id="rId1" Type="http://schemas.openxmlformats.org/officeDocument/2006/relationships/officeDocument" Target="word/document.xml"/><Relationship Id="rId8"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FEA0B6" w14:textId="77777777" w:rsidR="009623D5" w:rsidRDefault="001738DA">
      <w:pPr>
        <w:pStyle w:val="author"/>
        <w:rPr>
          <w:b/>
          <w:sz w:val="28"/>
        </w:rPr>
      </w:pPr>
      <w:r>
        <w:rPr>
          <w:b/>
          <w:sz w:val="28"/>
        </w:rPr>
        <w:fldChar w:fldCharType="begin"/>
      </w:r>
      <w:r>
        <w:rPr>
          <w:b/>
          <w:sz w:val="28"/>
        </w:rPr>
        <w:instrText xml:space="preserve"> MACROBUTTON AMEditEquationSection2 </w:instrText>
      </w:r>
      <w:r w:rsidRPr="001738DA">
        <w:rPr>
          <w:rStyle w:val="AMEquationSection"/>
        </w:rPr>
        <w:instrText>Equation Chapter 1 Section 1</w:instrText>
      </w:r>
      <w:r>
        <w:rPr>
          <w:b/>
          <w:sz w:val="28"/>
        </w:rPr>
        <w:fldChar w:fldCharType="begin"/>
      </w:r>
      <w:r>
        <w:rPr>
          <w:b/>
          <w:sz w:val="28"/>
        </w:rPr>
        <w:instrText xml:space="preserve"> SEQ AMEqn \r \h \* MERGEFORMAT </w:instrText>
      </w:r>
      <w:r>
        <w:rPr>
          <w:b/>
          <w:sz w:val="28"/>
        </w:rPr>
        <w:fldChar w:fldCharType="end"/>
      </w:r>
      <w:r>
        <w:rPr>
          <w:b/>
          <w:sz w:val="28"/>
        </w:rPr>
        <w:fldChar w:fldCharType="begin"/>
      </w:r>
      <w:r>
        <w:rPr>
          <w:b/>
          <w:sz w:val="28"/>
        </w:rPr>
        <w:instrText xml:space="preserve"> SEQ AMSec \r 1 \h \* MERGEFORMAT </w:instrText>
      </w:r>
      <w:r>
        <w:rPr>
          <w:b/>
          <w:sz w:val="28"/>
        </w:rPr>
        <w:fldChar w:fldCharType="end"/>
      </w:r>
      <w:r>
        <w:rPr>
          <w:b/>
          <w:sz w:val="28"/>
        </w:rPr>
        <w:fldChar w:fldCharType="begin"/>
      </w:r>
      <w:r>
        <w:rPr>
          <w:b/>
          <w:sz w:val="28"/>
        </w:rPr>
        <w:instrText xml:space="preserve"> SEQ AMChap \r 1 \h \* MERGEFORMAT </w:instrText>
      </w:r>
      <w:r>
        <w:rPr>
          <w:b/>
          <w:sz w:val="28"/>
        </w:rPr>
        <w:fldChar w:fldCharType="end"/>
      </w:r>
      <w:r>
        <w:rPr>
          <w:b/>
          <w:sz w:val="28"/>
        </w:rPr>
        <w:fldChar w:fldCharType="end"/>
      </w:r>
      <w:r w:rsidR="004E1FCC">
        <w:rPr>
          <w:b/>
          <w:sz w:val="28"/>
        </w:rPr>
        <w:t xml:space="preserve">ML-assisted Grid Refinement of Layered </w:t>
      </w:r>
      <w:proofErr w:type="spellStart"/>
      <w:r w:rsidR="004E1FCC">
        <w:rPr>
          <w:b/>
          <w:sz w:val="28"/>
        </w:rPr>
        <w:t>Voronoi</w:t>
      </w:r>
      <w:proofErr w:type="spellEnd"/>
      <w:r w:rsidR="004E1FCC">
        <w:rPr>
          <w:b/>
          <w:sz w:val="28"/>
        </w:rPr>
        <w:t>-cell     Lattice Models for Limit Analysis of Concrete Structures</w:t>
      </w:r>
    </w:p>
    <w:p w14:paraId="48683624" w14:textId="77777777" w:rsidR="009623D5" w:rsidRDefault="004E1FCC">
      <w:pPr>
        <w:pStyle w:val="author"/>
      </w:pPr>
      <w:proofErr w:type="spellStart"/>
      <w:r>
        <w:t>Qiwei</w:t>
      </w:r>
      <w:proofErr w:type="spellEnd"/>
      <w:r>
        <w:t xml:space="preserve"> Zhang</w:t>
      </w:r>
      <w:r>
        <w:rPr>
          <w:vertAlign w:val="superscript"/>
        </w:rPr>
        <w:t>1</w:t>
      </w:r>
      <w:r>
        <w:t>, Alessandro Fascetti</w:t>
      </w:r>
      <w:r>
        <w:rPr>
          <w:vertAlign w:val="superscript"/>
        </w:rPr>
        <w:t>2</w:t>
      </w:r>
      <w:r>
        <w:t>, and John Bolander</w:t>
      </w:r>
      <w:r>
        <w:rPr>
          <w:vertAlign w:val="superscript"/>
        </w:rPr>
        <w:t>1</w:t>
      </w:r>
    </w:p>
    <w:p w14:paraId="60F1DC9E" w14:textId="77777777" w:rsidR="009623D5" w:rsidRDefault="004E1FCC">
      <w:pPr>
        <w:pStyle w:val="address"/>
      </w:pPr>
      <w:r>
        <w:rPr>
          <w:vertAlign w:val="superscript"/>
        </w:rPr>
        <w:t>1</w:t>
      </w:r>
      <w:r>
        <w:t xml:space="preserve"> University of California, Davis, CA 95616, USA</w:t>
      </w:r>
    </w:p>
    <w:p w14:paraId="39A97590" w14:textId="77777777" w:rsidR="009623D5" w:rsidRDefault="004E1FCC">
      <w:pPr>
        <w:pStyle w:val="address"/>
      </w:pPr>
      <w:r>
        <w:rPr>
          <w:vertAlign w:val="superscript"/>
        </w:rPr>
        <w:t>2</w:t>
      </w:r>
      <w:r>
        <w:t xml:space="preserve"> University of Pittsburg, Pittsburg, PA,  USA</w:t>
      </w:r>
      <w:r>
        <w:br/>
      </w:r>
      <w:r>
        <w:rPr>
          <w:rStyle w:val="e-mail"/>
        </w:rPr>
        <w:t>jebolander@ucdavis.edu</w:t>
      </w:r>
    </w:p>
    <w:p w14:paraId="350FD8D3" w14:textId="77777777" w:rsidR="009623D5" w:rsidRDefault="004E1FCC">
      <w:pPr>
        <w:pStyle w:val="abstract"/>
        <w:spacing w:after="0"/>
        <w:ind w:firstLine="0"/>
      </w:pPr>
      <w:r>
        <w:rPr>
          <w:b/>
          <w:bCs/>
        </w:rPr>
        <w:t xml:space="preserve">Abstract. </w:t>
      </w:r>
      <w:r>
        <w:t xml:space="preserve">This research utilizes a layered </w:t>
      </w:r>
      <w:proofErr w:type="spellStart"/>
      <w:r>
        <w:t>Voronoi</w:t>
      </w:r>
      <w:proofErr w:type="spellEnd"/>
      <w:r>
        <w:t xml:space="preserve">-cell lattice model (L-VCLM), which is based on a two-dimensional discretization of the planar or thin-walled concrete structure. Similar to layered finite element approaches, kinematic constraints are used to model elasticity and the development of material nonlinearity in the wall thickness direction. The discrete nature of the L-VCLM has advantages in simulating localized phenomena, such as cracking or yield line formation. Whereas the L-VCLM is elastically uniform under in-plane loading, it exhibits spurious heterogeneity under flexural loading. However, such errors disappear with grid refinement. This suggests adaptive grid refinement as a means for modeling nonlinear behavior in large systems, which is the main topic of this research. The process of adaptive refinement is first developed for one-way structural elements and then generalized for planar systems. Plastic limit analyses are conducted, as an intermediate step toward fracture analyses. The process begins with coarse-grid simulations of one or more structural members. Grid refinement is </w:t>
      </w:r>
      <w:r w:rsidR="00AB5E35">
        <w:t>assisted</w:t>
      </w:r>
      <w:r>
        <w:t xml:space="preserve"> through k-means clustering of the yield events within the discrete network(s). Accuracy of the adaptive L-VCLM is assessed through benchmark comparisons with theoretical results.</w:t>
      </w:r>
    </w:p>
    <w:p w14:paraId="3BFDE361" w14:textId="77777777" w:rsidR="009623D5" w:rsidRDefault="004E1FCC">
      <w:pPr>
        <w:pStyle w:val="keywords"/>
      </w:pPr>
      <w:r>
        <w:rPr>
          <w:b/>
          <w:bCs/>
        </w:rPr>
        <w:t>Keywords:</w:t>
      </w:r>
      <w:r>
        <w:t xml:space="preserve"> Reinforced concrete, discrete model, thin-walled members.</w:t>
      </w:r>
    </w:p>
    <w:p w14:paraId="1608DA15" w14:textId="77777777" w:rsidR="009623D5" w:rsidRDefault="004E1FCC">
      <w:pPr>
        <w:pStyle w:val="heading1"/>
      </w:pPr>
      <w:r>
        <w:t>Introduction</w:t>
      </w:r>
    </w:p>
    <w:p w14:paraId="6CA302EF" w14:textId="77777777" w:rsidR="009623D5" w:rsidRDefault="004E1FCC">
      <w:pPr>
        <w:pStyle w:val="p1a"/>
      </w:pPr>
      <w:r>
        <w:t>Planar or thin-walled elements of structural concrete are ubiquitous within the civil infrastructure. Common examples include shear walls and floor slabs in building construction and, more recently, elements produced via additive manufacturing</w:t>
      </w:r>
      <w:r>
        <w:rPr>
          <w:rFonts w:eastAsia="宋体" w:hint="eastAsia"/>
          <w:lang w:eastAsia="zh-CN"/>
        </w:rPr>
        <w:t xml:space="preserve"> </w:t>
      </w:r>
      <w:r>
        <w:fldChar w:fldCharType="begin"/>
      </w:r>
      <w:r>
        <w:instrText xml:space="preserve"> REF _Ref824430892 \w \h </w:instrText>
      </w:r>
      <w:r>
        <w:fldChar w:fldCharType="separate"/>
      </w:r>
      <w:r w:rsidR="008A4D7B">
        <w:t>[4]</w:t>
      </w:r>
      <w:r>
        <w:fldChar w:fldCharType="end"/>
      </w:r>
      <w:r>
        <w:t>. The analyses of such structural elements for out-of-plane loading is challenging, due to the needs for capturing the distribution of damage in the plane and through the thin wall dimension. Three-dimensional models are apt for this purpose, but are computationally expensive, to the extent that analyses are limited to individual or small assemblages of structural members.  Layered finite element models help address concerns with computational expense, but such formulations rely on continuum representations of damage, which are problematic when considering cracking and other forms of displacement discontinuity.</w:t>
      </w:r>
    </w:p>
    <w:p w14:paraId="44B48A94" w14:textId="77777777" w:rsidR="009623D5" w:rsidRDefault="009623D5">
      <w:pPr>
        <w:pStyle w:val="p1a"/>
      </w:pPr>
    </w:p>
    <w:p w14:paraId="5D351E10" w14:textId="77777777" w:rsidR="009623D5" w:rsidRDefault="004E1FCC">
      <w:pPr>
        <w:pStyle w:val="p1a"/>
      </w:pPr>
      <w:r>
        <w:lastRenderedPageBreak/>
        <w:t>Lattice models are an effective means for simulating the mechanical behavior of concrete materials and structures. They provide discrete representations of cracking, avoiding complications associated with continuum formulations</w:t>
      </w:r>
      <w:r>
        <w:rPr>
          <w:rFonts w:eastAsia="宋体" w:hint="eastAsia"/>
          <w:lang w:eastAsia="zh-CN"/>
        </w:rPr>
        <w:t xml:space="preserve"> </w:t>
      </w:r>
      <w:r>
        <w:fldChar w:fldCharType="begin"/>
      </w:r>
      <w:r>
        <w:instrText xml:space="preserve"> REF _Ref825758645 \w \h </w:instrText>
      </w:r>
      <w:r>
        <w:fldChar w:fldCharType="separate"/>
      </w:r>
      <w:r w:rsidR="008A4D7B">
        <w:t>[3]</w:t>
      </w:r>
      <w:r>
        <w:fldChar w:fldCharType="end"/>
      </w:r>
      <w:r>
        <w:t>. Within the family of particle-based lattice models, a distinction can be made between</w:t>
      </w:r>
    </w:p>
    <w:p w14:paraId="59CF44E5" w14:textId="77777777" w:rsidR="009623D5" w:rsidRDefault="004E1FCC">
      <w:pPr>
        <w:pStyle w:val="ListParagraph"/>
        <w:numPr>
          <w:ilvl w:val="0"/>
          <w:numId w:val="6"/>
        </w:numPr>
      </w:pPr>
      <w:r>
        <w:t>morphology-based discretization schemes</w:t>
      </w:r>
      <w:r>
        <w:rPr>
          <w:rFonts w:eastAsia="宋体" w:hint="eastAsia"/>
          <w:lang w:eastAsia="zh-CN"/>
        </w:rPr>
        <w:t xml:space="preserve"> </w:t>
      </w:r>
      <w:r>
        <w:fldChar w:fldCharType="begin"/>
      </w:r>
      <w:r>
        <w:instrText xml:space="preserve"> REF _Ref826346890 \w \h </w:instrText>
      </w:r>
      <w:r>
        <w:fldChar w:fldCharType="separate"/>
      </w:r>
      <w:r w:rsidR="008A4D7B">
        <w:t>[5]</w:t>
      </w:r>
      <w:r>
        <w:fldChar w:fldCharType="end"/>
      </w:r>
      <w:r>
        <w:rPr>
          <w:rFonts w:eastAsia="宋体" w:hint="eastAsia"/>
          <w:lang w:eastAsia="zh-CN"/>
        </w:rPr>
        <w:t xml:space="preserve"> </w:t>
      </w:r>
      <w:r>
        <w:fldChar w:fldCharType="begin"/>
      </w:r>
      <w:r>
        <w:instrText xml:space="preserve"> REF _Ref826397311 \w \h </w:instrText>
      </w:r>
      <w:r>
        <w:fldChar w:fldCharType="separate"/>
      </w:r>
      <w:r w:rsidR="008A4D7B">
        <w:t>[8]</w:t>
      </w:r>
      <w:r>
        <w:fldChar w:fldCharType="end"/>
      </w:r>
      <w:r>
        <w:t xml:space="preserve">, for which the particles provide either a direct or indirect representation of coarse fractions of aggregates within the concrete. In this way, salient features of the fracture process are related to material structure; and </w:t>
      </w:r>
    </w:p>
    <w:p w14:paraId="7F92F368" w14:textId="77777777" w:rsidR="009623D5" w:rsidRDefault="004E1FCC">
      <w:pPr>
        <w:pStyle w:val="ListParagraph"/>
        <w:numPr>
          <w:ilvl w:val="0"/>
          <w:numId w:val="6"/>
        </w:numPr>
      </w:pPr>
      <w:proofErr w:type="spellStart"/>
      <w:r>
        <w:t>amorphic</w:t>
      </w:r>
      <w:proofErr w:type="spellEnd"/>
      <w:r>
        <w:t xml:space="preserve"> discretization schemes</w:t>
      </w:r>
      <w:r>
        <w:rPr>
          <w:rFonts w:eastAsia="宋体" w:hint="eastAsia"/>
          <w:lang w:eastAsia="zh-CN"/>
        </w:rPr>
        <w:t xml:space="preserve"> </w:t>
      </w:r>
      <w:r>
        <w:fldChar w:fldCharType="begin"/>
      </w:r>
      <w:r>
        <w:instrText xml:space="preserve"> REF _Ref826834293 \w \h </w:instrText>
      </w:r>
      <w:r>
        <w:fldChar w:fldCharType="separate"/>
      </w:r>
      <w:r w:rsidR="008A4D7B">
        <w:t>[1]</w:t>
      </w:r>
      <w:r>
        <w:fldChar w:fldCharType="end"/>
      </w:r>
      <w:r>
        <w:rPr>
          <w:rFonts w:eastAsia="宋体" w:hint="eastAsia"/>
          <w:lang w:eastAsia="zh-CN"/>
        </w:rPr>
        <w:t xml:space="preserve"> </w:t>
      </w:r>
      <w:r>
        <w:fldChar w:fldCharType="begin"/>
      </w:r>
      <w:r>
        <w:instrText xml:space="preserve"> REF _Ref826901521 \w \h </w:instrText>
      </w:r>
      <w:r>
        <w:fldChar w:fldCharType="separate"/>
      </w:r>
      <w:r w:rsidR="008A4D7B">
        <w:t>[18]</w:t>
      </w:r>
      <w:r>
        <w:fldChar w:fldCharType="end"/>
      </w:r>
      <w:r>
        <w:t xml:space="preserve">, which have no association with material structure. The resulting models possess some of the attributes of continuum models, such as elastic uniformity, while providing a discrete representation of </w:t>
      </w:r>
      <w:r w:rsidR="00AB5E35">
        <w:t>discontinuous phenomena, notabl</w:t>
      </w:r>
      <w:r>
        <w:t>y cracking.</w:t>
      </w:r>
    </w:p>
    <w:p w14:paraId="4390E467" w14:textId="77777777" w:rsidR="009623D5" w:rsidRDefault="009623D5">
      <w:pPr>
        <w:pStyle w:val="p1a"/>
      </w:pPr>
    </w:p>
    <w:p w14:paraId="28971491" w14:textId="77777777" w:rsidR="009623D5" w:rsidRDefault="004E1FCC">
      <w:pPr>
        <w:pStyle w:val="p1a"/>
      </w:pPr>
      <w:proofErr w:type="spellStart"/>
      <w:r>
        <w:t>Voronoi</w:t>
      </w:r>
      <w:proofErr w:type="spellEnd"/>
      <w:r>
        <w:t xml:space="preserve">-cell lattice models (VCLM), which form the basis for the research presented herein, utilize </w:t>
      </w:r>
      <w:proofErr w:type="spellStart"/>
      <w:r>
        <w:t>amorphic</w:t>
      </w:r>
      <w:proofErr w:type="spellEnd"/>
      <w:r>
        <w:t xml:space="preserve"> discretization schemes. For the case of thin-walled structural members, computational expense can be reduced by</w:t>
      </w:r>
    </w:p>
    <w:p w14:paraId="46FCCDA6" w14:textId="77777777" w:rsidR="009623D5" w:rsidRDefault="004E1FCC">
      <w:pPr>
        <w:pStyle w:val="p1a"/>
        <w:numPr>
          <w:ilvl w:val="0"/>
          <w:numId w:val="7"/>
        </w:numPr>
      </w:pPr>
      <w:r>
        <w:t>forming a layered assembly of lattice elements, which is subject to kinematic constraints to reduce the dimensionality of problem</w:t>
      </w:r>
      <w:r>
        <w:rPr>
          <w:rFonts w:eastAsia="宋体" w:hint="eastAsia"/>
          <w:lang w:eastAsia="zh-CN"/>
        </w:rPr>
        <w:t xml:space="preserve"> </w:t>
      </w:r>
      <w:r>
        <w:fldChar w:fldCharType="begin"/>
      </w:r>
      <w:r>
        <w:instrText xml:space="preserve"> REF _Ref827540187 \w \h </w:instrText>
      </w:r>
      <w:r>
        <w:fldChar w:fldCharType="separate"/>
      </w:r>
      <w:r w:rsidR="008A4D7B">
        <w:t>[19]</w:t>
      </w:r>
      <w:r>
        <w:fldChar w:fldCharType="end"/>
      </w:r>
      <w:r>
        <w:t xml:space="preserve">. This layered </w:t>
      </w:r>
      <w:proofErr w:type="spellStart"/>
      <w:r>
        <w:t>Voronoi</w:t>
      </w:r>
      <w:proofErr w:type="spellEnd"/>
      <w:r>
        <w:t>-cell lattice model (L-VCLM) accommodates the various forms of reinforcement used within cement-based composites</w:t>
      </w:r>
      <w:r>
        <w:rPr>
          <w:rFonts w:eastAsia="宋体" w:hint="eastAsia"/>
          <w:lang w:eastAsia="zh-CN"/>
        </w:rPr>
        <w:t xml:space="preserve"> </w:t>
      </w:r>
      <w:r>
        <w:fldChar w:fldCharType="begin"/>
      </w:r>
      <w:r>
        <w:instrText xml:space="preserve"> REF _Ref827540187 \w \h </w:instrText>
      </w:r>
      <w:r>
        <w:fldChar w:fldCharType="separate"/>
      </w:r>
      <w:r w:rsidR="008A4D7B">
        <w:t>[19]</w:t>
      </w:r>
      <w:r>
        <w:fldChar w:fldCharType="end"/>
      </w:r>
      <w:r>
        <w:t xml:space="preserve">. </w:t>
      </w:r>
    </w:p>
    <w:p w14:paraId="6B6A4460" w14:textId="77777777" w:rsidR="009623D5" w:rsidRDefault="004E1FCC">
      <w:pPr>
        <w:pStyle w:val="p1a"/>
        <w:numPr>
          <w:ilvl w:val="0"/>
          <w:numId w:val="7"/>
        </w:numPr>
      </w:pPr>
      <w:r>
        <w:t>adaptive grid refinement, based on a sequence of L-VCLM analyses</w:t>
      </w:r>
      <w:r w:rsidR="00AB5E35">
        <w:t>. Grid refinement can be facilitated using cluster analysis, a form of unsupervised machine learning</w:t>
      </w:r>
      <w:r>
        <w:t xml:space="preserve">, as presented hereafter.  </w:t>
      </w:r>
    </w:p>
    <w:p w14:paraId="66CE065E" w14:textId="77777777" w:rsidR="009623D5" w:rsidRDefault="004E1FCC">
      <w:pPr>
        <w:pStyle w:val="p1a"/>
      </w:pPr>
      <w:r>
        <w:t xml:space="preserve"> </w:t>
      </w:r>
    </w:p>
    <w:p w14:paraId="08D728C8" w14:textId="77777777" w:rsidR="009623D5" w:rsidRDefault="004E1FCC">
      <w:pPr>
        <w:pStyle w:val="p1a"/>
      </w:pPr>
      <w:r>
        <w:t xml:space="preserve">As a first step toward demonstrating the utility of the adaptive L-VCLM, plastic limit analyses are conducted for planar structures subjected to out-of-plane loading. For the basic geometries and boundary conditions considered herein, theoretical yield line patterns and limit loads are available for benchmark comparisons. These analyses provide insights into model behavior that might not be evident during structural concrete analyses, which involve additional complicating factors. </w:t>
      </w:r>
    </w:p>
    <w:p w14:paraId="414431F6" w14:textId="77777777" w:rsidR="009623D5" w:rsidRDefault="004E1FCC">
      <w:pPr>
        <w:jc w:val="center"/>
      </w:pPr>
      <w:r>
        <w:rPr>
          <w:noProof/>
          <w:lang w:eastAsia="ja-JP"/>
        </w:rPr>
        <w:drawing>
          <wp:inline distT="0" distB="0" distL="0" distR="0" wp14:anchorId="65762222" wp14:editId="00086A2B">
            <wp:extent cx="2778760" cy="1607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0421" cy="1620018"/>
                    </a:xfrm>
                    <a:prstGeom prst="rect">
                      <a:avLst/>
                    </a:prstGeom>
                  </pic:spPr>
                </pic:pic>
              </a:graphicData>
            </a:graphic>
          </wp:inline>
        </w:drawing>
      </w:r>
    </w:p>
    <w:p w14:paraId="703D71C5" w14:textId="77777777" w:rsidR="009623D5" w:rsidRDefault="004E1FCC">
      <w:pPr>
        <w:rPr>
          <w:sz w:val="18"/>
          <w:szCs w:val="18"/>
        </w:rPr>
      </w:pPr>
      <w:r>
        <w:rPr>
          <w:b/>
          <w:sz w:val="18"/>
          <w:szCs w:val="18"/>
        </w:rPr>
        <w:t>Fig. 1.</w:t>
      </w:r>
      <w:r>
        <w:rPr>
          <w:sz w:val="18"/>
          <w:szCs w:val="18"/>
        </w:rPr>
        <w:t xml:space="preserve"> </w:t>
      </w:r>
      <w:proofErr w:type="spellStart"/>
      <w:r>
        <w:rPr>
          <w:sz w:val="18"/>
          <w:szCs w:val="18"/>
        </w:rPr>
        <w:t>Voronoi</w:t>
      </w:r>
      <w:proofErr w:type="spellEnd"/>
      <w:r>
        <w:rPr>
          <w:sz w:val="18"/>
          <w:szCs w:val="18"/>
        </w:rPr>
        <w:t xml:space="preserve">-cell discretization of a material volume and rigid-body-spring element </w:t>
      </w:r>
      <w:proofErr w:type="spellStart"/>
      <w:r>
        <w:rPr>
          <w:i/>
          <w:sz w:val="18"/>
          <w:szCs w:val="18"/>
        </w:rPr>
        <w:t>i</w:t>
      </w:r>
      <w:proofErr w:type="spellEnd"/>
      <w:r>
        <w:rPr>
          <w:i/>
          <w:sz w:val="18"/>
          <w:szCs w:val="18"/>
        </w:rPr>
        <w:t>-j</w:t>
      </w:r>
    </w:p>
    <w:p w14:paraId="004296BE" w14:textId="77777777" w:rsidR="009623D5" w:rsidRDefault="004E1FCC">
      <w:r>
        <w:rPr>
          <w:noProof/>
          <w:lang w:eastAsia="ja-JP"/>
        </w:rPr>
        <w:lastRenderedPageBreak/>
        <w:drawing>
          <wp:inline distT="0" distB="0" distL="0" distR="0" wp14:anchorId="5DDD91BE" wp14:editId="182D009E">
            <wp:extent cx="4392930" cy="1262380"/>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2930" cy="1262380"/>
                    </a:xfrm>
                    <a:prstGeom prst="rect">
                      <a:avLst/>
                    </a:prstGeom>
                  </pic:spPr>
                </pic:pic>
              </a:graphicData>
            </a:graphic>
          </wp:inline>
        </w:drawing>
      </w:r>
    </w:p>
    <w:p w14:paraId="159DBA63" w14:textId="77777777" w:rsidR="009623D5" w:rsidRDefault="004E1FCC">
      <w:pPr>
        <w:ind w:firstLine="0"/>
        <w:rPr>
          <w:sz w:val="18"/>
          <w:szCs w:val="18"/>
        </w:rPr>
      </w:pPr>
      <w:r>
        <w:rPr>
          <w:b/>
          <w:sz w:val="18"/>
          <w:szCs w:val="18"/>
        </w:rPr>
        <w:t>Fig. 2.</w:t>
      </w:r>
      <w:r>
        <w:rPr>
          <w:sz w:val="18"/>
          <w:szCs w:val="18"/>
        </w:rPr>
        <w:t xml:space="preserve"> Construction of layered VCLM: a) </w:t>
      </w:r>
      <w:proofErr w:type="spellStart"/>
      <w:r>
        <w:rPr>
          <w:sz w:val="18"/>
          <w:szCs w:val="18"/>
        </w:rPr>
        <w:t>Voronoi</w:t>
      </w:r>
      <w:proofErr w:type="spellEnd"/>
      <w:r>
        <w:rPr>
          <w:sz w:val="18"/>
          <w:szCs w:val="18"/>
        </w:rPr>
        <w:t xml:space="preserve"> partitioning of central plane; b) extrusion of nodal point set in the thickness direction; and c) modification of nodal connectivity to produce layered elements</w:t>
      </w:r>
    </w:p>
    <w:p w14:paraId="5F0426C1" w14:textId="77777777" w:rsidR="009623D5" w:rsidRDefault="009623D5">
      <w:pPr>
        <w:ind w:firstLine="0"/>
      </w:pPr>
    </w:p>
    <w:p w14:paraId="344F2A4F" w14:textId="1F61DDCA" w:rsidR="009623D5" w:rsidRDefault="004E1FCC" w:rsidP="0064476E">
      <w:pPr>
        <w:pStyle w:val="heading1"/>
      </w:pPr>
      <w:r>
        <w:t>Model Construction</w:t>
      </w:r>
      <w:bookmarkStart w:id="0" w:name="_GoBack"/>
      <w:bookmarkEnd w:id="0"/>
    </w:p>
    <w:p w14:paraId="5C16E3ED" w14:textId="77777777" w:rsidR="009623D5" w:rsidRDefault="004E1FCC">
      <w:pPr>
        <w:pStyle w:val="heading2"/>
        <w:spacing w:before="0"/>
      </w:pPr>
      <w:r>
        <w:t>VCLM Formulation</w:t>
      </w:r>
    </w:p>
    <w:p w14:paraId="7532E305" w14:textId="77777777" w:rsidR="008A4D7B" w:rsidRDefault="004E1FCC" w:rsidP="00E67E0E">
      <w:pPr>
        <w:snapToGrid w:val="0"/>
        <w:spacing w:line="240" w:lineRule="exact"/>
        <w:rPr>
          <w:rStyle w:val="heading30"/>
          <w:b w:val="0"/>
        </w:rPr>
      </w:pPr>
      <w:proofErr w:type="spellStart"/>
      <w:r>
        <w:t>Voronoi</w:t>
      </w:r>
      <w:proofErr w:type="spellEnd"/>
      <w:r>
        <w:t>-cell lattice models possess features of classical lattice models used to simulate material breakdown and other physical processes</w:t>
      </w:r>
      <w:r>
        <w:rPr>
          <w:rFonts w:eastAsia="宋体" w:hint="eastAsia"/>
          <w:lang w:eastAsia="zh-CN"/>
        </w:rPr>
        <w:t xml:space="preserve"> </w:t>
      </w:r>
      <w:r>
        <w:fldChar w:fldCharType="begin"/>
      </w:r>
      <w:r>
        <w:instrText xml:space="preserve"> REF _Ref828061204 \w \h </w:instrText>
      </w:r>
      <w:r>
        <w:fldChar w:fldCharType="separate"/>
      </w:r>
      <w:r w:rsidR="008A4D7B">
        <w:t>[9]</w:t>
      </w:r>
      <w:r>
        <w:fldChar w:fldCharType="end"/>
      </w:r>
      <w:r>
        <w:t>. In particular, two-node elements are used to discretize the material domain, as shown in Fig. 1. According to the rigid-body-spring concept of Kawai</w:t>
      </w:r>
      <w:r>
        <w:rPr>
          <w:rFonts w:eastAsia="宋体" w:hint="eastAsia"/>
          <w:lang w:eastAsia="zh-CN"/>
        </w:rPr>
        <w:t xml:space="preserve"> </w:t>
      </w:r>
      <w:r>
        <w:fldChar w:fldCharType="begin"/>
      </w:r>
      <w:r>
        <w:instrText xml:space="preserve"> REF _Ref828229274 \w \h </w:instrText>
      </w:r>
      <w:r>
        <w:fldChar w:fldCharType="separate"/>
      </w:r>
      <w:r w:rsidR="008A4D7B">
        <w:t>[11]</w:t>
      </w:r>
      <w:r>
        <w:fldChar w:fldCharType="end"/>
      </w:r>
      <w:r>
        <w:t xml:space="preserve">, each element is composed of a zero-size spring set, which connects to the nodal degrees of freedom via rigid-arm constraints. The spring set is positioned at the area centroid </w:t>
      </w:r>
      <w:r w:rsidRPr="004E1FCC">
        <w:rPr>
          <w:position w:val="-9"/>
        </w:rPr>
        <w:object w:dxaOrig="177" w:dyaOrig="269" w14:anchorId="117D5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3.15pt" o:ole="">
            <v:imagedata r:id="rId10" o:title=""/>
          </v:shape>
          <o:OLEObject Type="Embed" ProgID="Equation.AxMath" ShapeID="_x0000_i1025" DrawAspect="Content" ObjectID="_1808679667" r:id="rId11"/>
        </w:object>
      </w:r>
      <w:r w:rsidR="001F6AEC">
        <w:t xml:space="preserve"> </w:t>
      </w:r>
      <w:r>
        <w:t xml:space="preserve">of the </w:t>
      </w:r>
      <w:proofErr w:type="spellStart"/>
      <w:r>
        <w:t>Voronoi</w:t>
      </w:r>
      <w:proofErr w:type="spellEnd"/>
      <w:r>
        <w:t xml:space="preserve"> facet associated with nodes </w:t>
      </w:r>
      <w:r w:rsidRPr="004E1FCC">
        <w:rPr>
          <w:position w:val="-9"/>
        </w:rPr>
        <w:object w:dxaOrig="101" w:dyaOrig="269" w14:anchorId="11BDE5C4">
          <v:shape id="_x0000_i1026" type="#_x0000_t75" style="width:5pt;height:13.15pt" o:ole="">
            <v:imagedata r:id="rId12" o:title=""/>
          </v:shape>
          <o:OLEObject Type="Embed" ProgID="Equation.AxMath" ShapeID="_x0000_i1026" DrawAspect="Content" ObjectID="_1808679668" r:id="rId13"/>
        </w:object>
      </w:r>
      <w:r w:rsidR="001F6AEC">
        <w:t xml:space="preserve"> and </w:t>
      </w:r>
      <w:r w:rsidRPr="004E1FCC">
        <w:rPr>
          <w:position w:val="-9"/>
        </w:rPr>
        <w:object w:dxaOrig="128" w:dyaOrig="269" w14:anchorId="3D244D0C">
          <v:shape id="_x0000_i1027" type="#_x0000_t75" style="width:6.25pt;height:13.15pt" o:ole="">
            <v:imagedata r:id="rId14" o:title=""/>
          </v:shape>
          <o:OLEObject Type="Embed" ProgID="Equation.AxMath" ShapeID="_x0000_i1027" DrawAspect="Content" ObjectID="_1808679669" r:id="rId15"/>
        </w:object>
      </w:r>
      <w:r>
        <w:t>. The stiffness coefficients of the lineal springs are</w:t>
      </w:r>
      <w:r w:rsidR="001F6AEC">
        <w:rPr>
          <w:rStyle w:val="heading30"/>
          <w:b w:val="0"/>
        </w:rPr>
        <w:tab/>
      </w:r>
      <w:r w:rsidR="001738DA">
        <w:rPr>
          <w:rStyle w:val="heading30"/>
          <w:b w:val="0"/>
        </w:rPr>
        <w:t xml:space="preserve"> </w:t>
      </w:r>
    </w:p>
    <w:p w14:paraId="3C3C348C" w14:textId="77777777" w:rsidR="001F6AEC" w:rsidRDefault="008A4D7B" w:rsidP="008A4D7B">
      <w:pPr>
        <w:pStyle w:val="AMDisplayEquation"/>
        <w:rPr>
          <w:rStyle w:val="heading30"/>
          <w:b w:val="0"/>
        </w:rPr>
      </w:pPr>
      <w:r>
        <w:tab/>
      </w:r>
      <w:r w:rsidR="004E1FCC" w:rsidRPr="004E1FCC">
        <w:rPr>
          <w:position w:val="-20"/>
        </w:rPr>
        <w:object w:dxaOrig="1820" w:dyaOrig="495" w14:anchorId="34AC8BB8">
          <v:shape id="_x0000_i1028" type="#_x0000_t75" style="width:90.8pt;height:25.05pt" o:ole="">
            <v:imagedata r:id="rId16" o:title=""/>
          </v:shape>
          <o:OLEObject Type="Embed" ProgID="Equation.AxMath" ShapeID="_x0000_i1028" DrawAspect="Content" ObjectID="_1808679670" r:id="rId17"/>
        </w:object>
      </w:r>
      <w:r>
        <w:tab/>
      </w:r>
      <w:r>
        <w:fldChar w:fldCharType="begin"/>
      </w:r>
      <w:r>
        <w:instrText xml:space="preserve"> MACROBUTTON AMMPlaceRM \* MERGEFORMAT </w:instrText>
      </w:r>
      <w:r>
        <w:fldChar w:fldCharType="begin"/>
      </w:r>
      <w:r>
        <w:instrText xml:space="preserve"> SEQ AMEqn \h \* MERGEFORMAT </w:instrText>
      </w:r>
      <w:r>
        <w:fldChar w:fldCharType="end"/>
      </w:r>
      <w:r>
        <w:instrText>(</w:instrText>
      </w:r>
      <w:fldSimple w:instr=" SEQ AMEqn \c \* Arabic \* MERGEFORMAT ">
        <w:r>
          <w:rPr>
            <w:noProof/>
          </w:rPr>
          <w:instrText>1</w:instrText>
        </w:r>
      </w:fldSimple>
      <w:r>
        <w:instrText>)</w:instrText>
      </w:r>
      <w:r>
        <w:fldChar w:fldCharType="end"/>
      </w:r>
    </w:p>
    <w:p w14:paraId="6CB8B0E7" w14:textId="77777777" w:rsidR="009623D5" w:rsidRDefault="004E1FCC" w:rsidP="00E67E0E">
      <w:pPr>
        <w:snapToGrid w:val="0"/>
        <w:spacing w:line="240" w:lineRule="exact"/>
        <w:ind w:firstLine="0"/>
        <w:rPr>
          <w:rStyle w:val="heading30"/>
          <w:b w:val="0"/>
        </w:rPr>
      </w:pPr>
      <w:r>
        <w:rPr>
          <w:rStyle w:val="heading30"/>
          <w:b w:val="0"/>
        </w:rPr>
        <w:t xml:space="preserve">where </w:t>
      </w:r>
      <w:r w:rsidRPr="004E1FCC">
        <w:rPr>
          <w:position w:val="-9"/>
        </w:rPr>
        <w:object w:dxaOrig="218" w:dyaOrig="269" w14:anchorId="5A78DAD3">
          <v:shape id="_x0000_i1029" type="#_x0000_t75" style="width:10.65pt;height:13.15pt" o:ole="">
            <v:imagedata r:id="rId18" o:title=""/>
          </v:shape>
          <o:OLEObject Type="Embed" ProgID="Equation.AxMath" ShapeID="_x0000_i1029" DrawAspect="Content" ObjectID="_1808679671" r:id="rId19"/>
        </w:object>
      </w:r>
      <w:r>
        <w:rPr>
          <w:rStyle w:val="heading30"/>
          <w:b w:val="0"/>
        </w:rPr>
        <w:t xml:space="preserve"> and </w:t>
      </w:r>
      <w:r w:rsidRPr="004E1FCC">
        <w:rPr>
          <w:position w:val="-9"/>
        </w:rPr>
        <w:object w:dxaOrig="249" w:dyaOrig="269" w14:anchorId="696FA758">
          <v:shape id="_x0000_i1030" type="#_x0000_t75" style="width:12.5pt;height:13.15pt" o:ole="">
            <v:imagedata r:id="rId20" o:title=""/>
          </v:shape>
          <o:OLEObject Type="Embed" ProgID="Equation.AxMath" ShapeID="_x0000_i1030" DrawAspect="Content" ObjectID="_1808679672" r:id="rId21"/>
        </w:object>
      </w:r>
      <w:r w:rsidR="00EA6BEB">
        <w:rPr>
          <w:rStyle w:val="heading30"/>
          <w:b w:val="0"/>
        </w:rPr>
        <w:t xml:space="preserve"> </w:t>
      </w:r>
      <w:r>
        <w:rPr>
          <w:rStyle w:val="heading30"/>
          <w:b w:val="0"/>
        </w:rPr>
        <w:t xml:space="preserve">are the distance between and facet area associated with nodes </w:t>
      </w:r>
      <w:r w:rsidRPr="004E1FCC">
        <w:rPr>
          <w:position w:val="-9"/>
        </w:rPr>
        <w:object w:dxaOrig="101" w:dyaOrig="269" w14:anchorId="7B73BAE0">
          <v:shape id="_x0000_i1031" type="#_x0000_t75" style="width:5pt;height:13.15pt" o:ole="">
            <v:imagedata r:id="rId12" o:title=""/>
          </v:shape>
          <o:OLEObject Type="Embed" ProgID="Equation.AxMath" ShapeID="_x0000_i1031" DrawAspect="Content" ObjectID="_1808679673" r:id="rId22"/>
        </w:object>
      </w:r>
      <w:r w:rsidR="00EA6BEB">
        <w:rPr>
          <w:rStyle w:val="heading30"/>
          <w:b w:val="0"/>
        </w:rPr>
        <w:t xml:space="preserve"> and </w:t>
      </w:r>
      <w:r w:rsidRPr="004E1FCC">
        <w:rPr>
          <w:position w:val="-9"/>
        </w:rPr>
        <w:object w:dxaOrig="128" w:dyaOrig="269" w14:anchorId="21D51066">
          <v:shape id="_x0000_i1032" type="#_x0000_t75" style="width:6.25pt;height:13.15pt" o:ole="">
            <v:imagedata r:id="rId14" o:title=""/>
          </v:shape>
          <o:OLEObject Type="Embed" ProgID="Equation.AxMath" ShapeID="_x0000_i1032" DrawAspect="Content" ObjectID="_1808679674" r:id="rId23"/>
        </w:object>
      </w:r>
      <w:r>
        <w:rPr>
          <w:rStyle w:val="heading30"/>
          <w:b w:val="0"/>
        </w:rPr>
        <w:t xml:space="preserve">, respectively; </w:t>
      </w:r>
      <w:r w:rsidRPr="004E1FCC">
        <w:rPr>
          <w:position w:val="-9"/>
        </w:rPr>
        <w:object w:dxaOrig="182" w:dyaOrig="269" w14:anchorId="05E2D7A0">
          <v:shape id="_x0000_i1033" type="#_x0000_t75" style="width:9.4pt;height:13.15pt" o:ole="">
            <v:imagedata r:id="rId24" o:title=""/>
          </v:shape>
          <o:OLEObject Type="Embed" ProgID="Equation.AxMath" ShapeID="_x0000_i1033" DrawAspect="Content" ObjectID="_1808679675" r:id="rId25"/>
        </w:object>
      </w:r>
      <w:r w:rsidR="00EA6BEB">
        <w:rPr>
          <w:rStyle w:val="heading30"/>
          <w:b w:val="0"/>
        </w:rPr>
        <w:t xml:space="preserve"> </w:t>
      </w:r>
      <w:r>
        <w:rPr>
          <w:rStyle w:val="heading30"/>
          <w:b w:val="0"/>
        </w:rPr>
        <w:t xml:space="preserve">is Young's modulus of the bulk material; and </w:t>
      </w:r>
      <w:r w:rsidRPr="004E1FCC">
        <w:rPr>
          <w:position w:val="-9"/>
        </w:rPr>
        <w:object w:dxaOrig="766" w:dyaOrig="269" w14:anchorId="6A76BBF0">
          <v:shape id="_x0000_i1034" type="#_x0000_t75" style="width:38.2pt;height:13.15pt" o:ole="">
            <v:imagedata r:id="rId26" o:title=""/>
          </v:shape>
          <o:OLEObject Type="Embed" ProgID="Equation.AxMath" ShapeID="_x0000_i1034" DrawAspect="Content" ObjectID="_1808679676" r:id="rId27"/>
        </w:object>
      </w:r>
      <w:r>
        <w:rPr>
          <w:rStyle w:val="heading30"/>
          <w:b w:val="0"/>
        </w:rPr>
        <w:t xml:space="preserve"> defines the stiffness of the tangential springs relative to that of the normal spring. Elastic uniformity of the VCLM is achieved by setting</w:t>
      </w:r>
      <w:r w:rsidR="00EA6BEB">
        <w:rPr>
          <w:rStyle w:val="heading30"/>
          <w:b w:val="0"/>
        </w:rPr>
        <w:t xml:space="preserve"> </w:t>
      </w:r>
      <w:r w:rsidRPr="004E1FCC">
        <w:rPr>
          <w:position w:val="-9"/>
        </w:rPr>
        <w:object w:dxaOrig="455" w:dyaOrig="269" w14:anchorId="6814C379">
          <v:shape id="_x0000_i1035" type="#_x0000_t75" style="width:22.55pt;height:13.15pt" o:ole="">
            <v:imagedata r:id="rId28" o:title=""/>
          </v:shape>
          <o:OLEObject Type="Embed" ProgID="Equation.AxMath" ShapeID="_x0000_i1035" DrawAspect="Content" ObjectID="_1808679677" r:id="rId29"/>
        </w:object>
      </w:r>
      <w:r>
        <w:rPr>
          <w:rStyle w:val="heading30"/>
          <w:b w:val="0"/>
        </w:rPr>
        <w:t>, in conjunction with an iterative scheme for realizing the Poisson effect</w:t>
      </w:r>
      <w:r>
        <w:rPr>
          <w:rStyle w:val="heading30"/>
          <w:rFonts w:eastAsia="宋体" w:hint="eastAsia"/>
          <w:b w:val="0"/>
          <w:lang w:eastAsia="zh-CN"/>
        </w:rPr>
        <w:t xml:space="preserve"> </w:t>
      </w:r>
      <w:r>
        <w:rPr>
          <w:rStyle w:val="heading30"/>
          <w:b w:val="0"/>
        </w:rPr>
        <w:fldChar w:fldCharType="begin"/>
      </w:r>
      <w:r>
        <w:rPr>
          <w:rStyle w:val="heading30"/>
          <w:b w:val="0"/>
        </w:rPr>
        <w:instrText xml:space="preserve"> REF _Ref826834293 \w \h </w:instrText>
      </w:r>
      <w:r>
        <w:rPr>
          <w:rStyle w:val="heading30"/>
          <w:b w:val="0"/>
        </w:rPr>
      </w:r>
      <w:r>
        <w:rPr>
          <w:rStyle w:val="heading30"/>
          <w:b w:val="0"/>
        </w:rPr>
        <w:fldChar w:fldCharType="separate"/>
      </w:r>
      <w:r w:rsidR="008A4D7B">
        <w:rPr>
          <w:rStyle w:val="heading30"/>
          <w:b w:val="0"/>
        </w:rPr>
        <w:t>[1]</w:t>
      </w:r>
      <w:r>
        <w:rPr>
          <w:rStyle w:val="heading30"/>
          <w:b w:val="0"/>
        </w:rPr>
        <w:fldChar w:fldCharType="end"/>
      </w:r>
      <w:r>
        <w:rPr>
          <w:rStyle w:val="heading30"/>
          <w:b w:val="0"/>
        </w:rPr>
        <w:t xml:space="preserve">. </w:t>
      </w:r>
    </w:p>
    <w:p w14:paraId="04678A27" w14:textId="77777777" w:rsidR="009623D5" w:rsidRDefault="004E1FCC" w:rsidP="00E67E0E">
      <w:pPr>
        <w:spacing w:line="240" w:lineRule="exact"/>
        <w:rPr>
          <w:rStyle w:val="heading30"/>
          <w:b w:val="0"/>
        </w:rPr>
      </w:pPr>
      <w:r>
        <w:rPr>
          <w:rStyle w:val="heading30"/>
          <w:b w:val="0"/>
        </w:rPr>
        <w:t>An event-based approach is used to simulate material nonlinearity; and breaking rules are formulated in terms of vectorial measures of stress and strain. Other details regarding the VCLM formulation and several of its applications are described elsewhere</w:t>
      </w:r>
      <w:r>
        <w:rPr>
          <w:rStyle w:val="heading30"/>
          <w:rFonts w:eastAsia="宋体" w:hint="eastAsia"/>
          <w:b w:val="0"/>
          <w:lang w:eastAsia="zh-CN"/>
        </w:rPr>
        <w:t xml:space="preserve"> </w:t>
      </w:r>
      <w:r>
        <w:rPr>
          <w:rStyle w:val="heading30"/>
          <w:b w:val="0"/>
        </w:rPr>
        <w:fldChar w:fldCharType="begin"/>
      </w:r>
      <w:r>
        <w:rPr>
          <w:rStyle w:val="heading30"/>
          <w:b w:val="0"/>
        </w:rPr>
        <w:instrText xml:space="preserve"> REF _Ref829086431 \w \h </w:instrText>
      </w:r>
      <w:r>
        <w:rPr>
          <w:rStyle w:val="heading30"/>
          <w:b w:val="0"/>
        </w:rPr>
      </w:r>
      <w:r>
        <w:rPr>
          <w:rStyle w:val="heading30"/>
          <w:b w:val="0"/>
        </w:rPr>
        <w:fldChar w:fldCharType="separate"/>
      </w:r>
      <w:r w:rsidR="008A4D7B">
        <w:rPr>
          <w:rStyle w:val="heading30"/>
          <w:b w:val="0"/>
        </w:rPr>
        <w:t>[13]</w:t>
      </w:r>
      <w:r>
        <w:rPr>
          <w:rStyle w:val="heading30"/>
          <w:b w:val="0"/>
        </w:rPr>
        <w:fldChar w:fldCharType="end"/>
      </w:r>
      <w:r>
        <w:rPr>
          <w:rStyle w:val="heading30"/>
          <w:b w:val="0"/>
        </w:rPr>
        <w:t>.</w:t>
      </w:r>
    </w:p>
    <w:p w14:paraId="132BB3F1" w14:textId="77777777" w:rsidR="009623D5" w:rsidRDefault="004E1FCC">
      <w:pPr>
        <w:pStyle w:val="heading2"/>
        <w:rPr>
          <w:rStyle w:val="heading30"/>
          <w:b/>
        </w:rPr>
      </w:pPr>
      <w:r>
        <w:rPr>
          <w:rStyle w:val="heading30"/>
          <w:b/>
        </w:rPr>
        <w:t>L-VCLM Configuration</w:t>
      </w:r>
    </w:p>
    <w:p w14:paraId="0EA2D9C1" w14:textId="77777777" w:rsidR="009623D5" w:rsidRDefault="004E1FCC" w:rsidP="00E67E0E">
      <w:pPr>
        <w:pStyle w:val="p1a"/>
        <w:snapToGrid w:val="0"/>
        <w:spacing w:line="240" w:lineRule="exact"/>
      </w:pPr>
      <w:r>
        <w:t>The central plane of the thin-walled structure is partitioned into Voronoi cells (Fig. 2a). Nodal points are positioned using a process of random sequential addition</w:t>
      </w:r>
      <w:r>
        <w:rPr>
          <w:rFonts w:eastAsia="宋体" w:hint="eastAsia"/>
          <w:lang w:eastAsia="zh-CN"/>
        </w:rPr>
        <w:t xml:space="preserve"> </w:t>
      </w:r>
      <w:r>
        <w:fldChar w:fldCharType="begin"/>
      </w:r>
      <w:r>
        <w:instrText xml:space="preserve"> REF _Ref829321729 \w \h </w:instrText>
      </w:r>
      <w:r>
        <w:fldChar w:fldCharType="separate"/>
      </w:r>
      <w:r w:rsidR="008A4D7B">
        <w:t>[17]</w:t>
      </w:r>
      <w:r>
        <w:fldChar w:fldCharType="end"/>
      </w:r>
      <w:r>
        <w:t xml:space="preserve">. For each of the resulting nodes, an additional </w:t>
      </w:r>
      <w:r w:rsidR="00E67E0E" w:rsidRPr="00E67E0E">
        <w:rPr>
          <w:position w:val="-10"/>
        </w:rPr>
        <w:object w:dxaOrig="547" w:dyaOrig="298" w14:anchorId="7F9BD843">
          <v:shape id="_x0000_i1036" type="#_x0000_t75" style="width:27.55pt;height:15.05pt" o:ole="">
            <v:imagedata r:id="rId30" o:title=""/>
          </v:shape>
          <o:OLEObject Type="Embed" ProgID="Equation.AxMath" ShapeID="_x0000_i1036" DrawAspect="Content" ObjectID="_1808679678" r:id="rId31"/>
        </w:object>
      </w:r>
      <w:r>
        <w:t xml:space="preserve"> nodes are placed in the thickness direction, uniformly spaced above and below the central plane as shown in Fig. 2b. The 3D network of nodes is tessellated, resulting in </w:t>
      </w:r>
      <w:r w:rsidRPr="004E1FCC">
        <w:rPr>
          <w:position w:val="-9"/>
        </w:rPr>
        <w:object w:dxaOrig="196" w:dyaOrig="269" w14:anchorId="18C48458">
          <v:shape id="_x0000_i1037" type="#_x0000_t75" style="width:9.4pt;height:13.15pt" o:ole="">
            <v:imagedata r:id="rId32" o:title=""/>
          </v:shape>
          <o:OLEObject Type="Embed" ProgID="Equation.AxMath" ShapeID="_x0000_i1037" DrawAspect="Content" ObjectID="_1808679679" r:id="rId33"/>
        </w:object>
      </w:r>
      <w:r>
        <w:t xml:space="preserve"> identical horizontal layers of ele</w:t>
      </w:r>
      <w:r>
        <w:lastRenderedPageBreak/>
        <w:t xml:space="preserve">ments connecting through the same partitioning of the vertical facets. The connectivities of those horizontal elements are then referenced to the mid-plane nodes, which produces the desired layered elements (Fig. 2c). The extraneous nodes used for the 3D tessellation have to be removed or constrained. This can be viewed as a planar generalization of the fiber or layered </w:t>
      </w:r>
      <w:proofErr w:type="spellStart"/>
      <w:r>
        <w:t>discretizations</w:t>
      </w:r>
      <w:proofErr w:type="spellEnd"/>
      <w:r>
        <w:t xml:space="preserve"> of one-dimensional structural elements</w:t>
      </w:r>
      <w:r>
        <w:rPr>
          <w:rFonts w:eastAsia="宋体" w:hint="eastAsia"/>
          <w:lang w:eastAsia="zh-CN"/>
        </w:rPr>
        <w:t xml:space="preserve"> </w:t>
      </w:r>
      <w:r>
        <w:fldChar w:fldCharType="begin"/>
      </w:r>
      <w:r>
        <w:instrText xml:space="preserve"> REF _Ref829557027 \w \h </w:instrText>
      </w:r>
      <w:r>
        <w:fldChar w:fldCharType="separate"/>
      </w:r>
      <w:r w:rsidR="008A4D7B">
        <w:t>[2]</w:t>
      </w:r>
      <w:r>
        <w:fldChar w:fldCharType="end"/>
      </w:r>
      <w:r>
        <w:rPr>
          <w:rFonts w:eastAsia="宋体" w:hint="eastAsia"/>
          <w:lang w:eastAsia="zh-CN"/>
        </w:rPr>
        <w:t xml:space="preserve"> </w:t>
      </w:r>
      <w:r>
        <w:fldChar w:fldCharType="begin"/>
      </w:r>
      <w:r>
        <w:instrText xml:space="preserve"> REF _Ref829590641 \w \h </w:instrText>
      </w:r>
      <w:r>
        <w:fldChar w:fldCharType="separate"/>
      </w:r>
      <w:r w:rsidR="008A4D7B">
        <w:t>[15]</w:t>
      </w:r>
      <w:r>
        <w:fldChar w:fldCharType="end"/>
      </w:r>
      <w:r>
        <w:t>.</w:t>
      </w:r>
    </w:p>
    <w:p w14:paraId="1888733E" w14:textId="77777777" w:rsidR="009623D5" w:rsidRDefault="004E1FCC">
      <w:pPr>
        <w:pStyle w:val="heading1"/>
      </w:pPr>
      <w:r>
        <w:t>Adaptive Grid Refinement</w:t>
      </w:r>
    </w:p>
    <w:p w14:paraId="45B9D8DB" w14:textId="77777777" w:rsidR="009623D5" w:rsidRDefault="004E1FCC">
      <w:pPr>
        <w:ind w:firstLine="0"/>
        <w:rPr>
          <w:rStyle w:val="heading30"/>
          <w:b w:val="0"/>
        </w:rPr>
      </w:pPr>
      <w:r>
        <w:rPr>
          <w:rStyle w:val="heading30"/>
          <w:b w:val="0"/>
        </w:rPr>
        <w:t>Most adaptive analysis procedures of thin-walled structures are based on elastic stress calculations. Fewer account for nonlinear material behavior</w:t>
      </w:r>
      <w:r>
        <w:rPr>
          <w:rStyle w:val="heading30"/>
          <w:rFonts w:eastAsia="宋体" w:hint="eastAsia"/>
          <w:b w:val="0"/>
          <w:lang w:eastAsia="zh-CN"/>
        </w:rPr>
        <w:t xml:space="preserve"> </w:t>
      </w:r>
      <w:r>
        <w:rPr>
          <w:rStyle w:val="heading30"/>
          <w:b w:val="0"/>
        </w:rPr>
        <w:fldChar w:fldCharType="begin"/>
      </w:r>
      <w:r>
        <w:rPr>
          <w:rStyle w:val="heading30"/>
          <w:b w:val="0"/>
        </w:rPr>
        <w:instrText xml:space="preserve"> REF _Ref830044430 \w \h </w:instrText>
      </w:r>
      <w:r>
        <w:rPr>
          <w:rStyle w:val="heading30"/>
          <w:b w:val="0"/>
        </w:rPr>
      </w:r>
      <w:r>
        <w:rPr>
          <w:rStyle w:val="heading30"/>
          <w:b w:val="0"/>
        </w:rPr>
        <w:fldChar w:fldCharType="separate"/>
      </w:r>
      <w:r w:rsidR="008A4D7B">
        <w:rPr>
          <w:rStyle w:val="heading30"/>
          <w:b w:val="0"/>
        </w:rPr>
        <w:t>[7]</w:t>
      </w:r>
      <w:r>
        <w:rPr>
          <w:rStyle w:val="heading30"/>
          <w:b w:val="0"/>
        </w:rPr>
        <w:fldChar w:fldCharType="end"/>
      </w:r>
      <w:r>
        <w:rPr>
          <w:rStyle w:val="heading30"/>
          <w:b w:val="0"/>
        </w:rPr>
        <w:t>. Herein, the adaptive process is guided by the extent of plastic yielding within a set of preliminary models.</w:t>
      </w:r>
    </w:p>
    <w:p w14:paraId="05C12068" w14:textId="77777777" w:rsidR="009623D5" w:rsidRDefault="004E1FCC">
      <w:pPr>
        <w:rPr>
          <w:rStyle w:val="heading30"/>
          <w:b w:val="0"/>
        </w:rPr>
      </w:pPr>
      <w:r>
        <w:rPr>
          <w:rStyle w:val="heading30"/>
          <w:b w:val="0"/>
        </w:rPr>
        <w:t>For a prescribed number of nominally identical structures and boundary conditions, the procedure is as follows.</w:t>
      </w:r>
    </w:p>
    <w:p w14:paraId="5D04D6E6" w14:textId="77777777" w:rsidR="009623D5" w:rsidRDefault="004E1FCC">
      <w:pPr>
        <w:pStyle w:val="ListParagraph"/>
        <w:numPr>
          <w:ilvl w:val="0"/>
          <w:numId w:val="8"/>
        </w:numPr>
        <w:rPr>
          <w:rStyle w:val="heading30"/>
          <w:b w:val="0"/>
        </w:rPr>
      </w:pPr>
      <w:r>
        <w:rPr>
          <w:rStyle w:val="heading30"/>
          <w:b w:val="0"/>
        </w:rPr>
        <w:t xml:space="preserve">For each of the </w:t>
      </w:r>
      <w:r w:rsidRPr="004E1FCC">
        <w:rPr>
          <w:position w:val="-9"/>
        </w:rPr>
        <w:object w:dxaOrig="202" w:dyaOrig="269" w14:anchorId="4615DD24">
          <v:shape id="_x0000_i1038" type="#_x0000_t75" style="width:10pt;height:13.15pt" o:ole="">
            <v:imagedata r:id="rId34" o:title=""/>
          </v:shape>
          <o:OLEObject Type="Embed" ProgID="Equation.AxMath" ShapeID="_x0000_i1038" DrawAspect="Content" ObjectID="_1808679680" r:id="rId35"/>
        </w:object>
      </w:r>
      <w:r w:rsidR="00EA6BEB">
        <w:rPr>
          <w:rStyle w:val="heading30"/>
          <w:b w:val="0"/>
        </w:rPr>
        <w:t xml:space="preserve"> </w:t>
      </w:r>
      <w:r>
        <w:rPr>
          <w:rStyle w:val="heading30"/>
          <w:b w:val="0"/>
        </w:rPr>
        <w:t>structures:</w:t>
      </w:r>
    </w:p>
    <w:p w14:paraId="1DB51A56" w14:textId="77777777" w:rsidR="009623D5" w:rsidRDefault="004E1FCC">
      <w:pPr>
        <w:pStyle w:val="ListParagraph"/>
        <w:numPr>
          <w:ilvl w:val="0"/>
          <w:numId w:val="9"/>
        </w:numPr>
        <w:rPr>
          <w:rStyle w:val="heading30"/>
          <w:b w:val="0"/>
        </w:rPr>
      </w:pPr>
      <w:r>
        <w:rPr>
          <w:rStyle w:val="heading30"/>
          <w:b w:val="0"/>
        </w:rPr>
        <w:t xml:space="preserve">The domain is discretized using uniform nodal density, without regard to potential yield lines. </w:t>
      </w:r>
    </w:p>
    <w:p w14:paraId="47C0147B" w14:textId="77777777" w:rsidR="009623D5" w:rsidRDefault="004E1FCC">
      <w:pPr>
        <w:pStyle w:val="ListParagraph"/>
        <w:numPr>
          <w:ilvl w:val="0"/>
          <w:numId w:val="9"/>
        </w:numPr>
        <w:rPr>
          <w:rStyle w:val="heading30"/>
          <w:b w:val="0"/>
        </w:rPr>
      </w:pPr>
      <w:r>
        <w:rPr>
          <w:rStyle w:val="heading30"/>
          <w:b w:val="0"/>
        </w:rPr>
        <w:t>Lateral load is applied incrementally, leading to a plastic collapse mechanism.</w:t>
      </w:r>
    </w:p>
    <w:p w14:paraId="2EDE9836" w14:textId="77777777" w:rsidR="009623D5" w:rsidRDefault="004E1FCC">
      <w:pPr>
        <w:pStyle w:val="ListParagraph"/>
        <w:numPr>
          <w:ilvl w:val="0"/>
          <w:numId w:val="9"/>
        </w:numPr>
        <w:rPr>
          <w:rStyle w:val="heading30"/>
          <w:b w:val="0"/>
        </w:rPr>
      </w:pPr>
      <w:r>
        <w:rPr>
          <w:rStyle w:val="heading30"/>
          <w:b w:val="0"/>
        </w:rPr>
        <w:t>A spatial map of the yield events, sampled at a prescribed distance from the free surfaces, is produced.</w:t>
      </w:r>
    </w:p>
    <w:p w14:paraId="2C822E2E" w14:textId="77777777" w:rsidR="009623D5" w:rsidRDefault="004E1FCC">
      <w:pPr>
        <w:pStyle w:val="ListParagraph"/>
        <w:numPr>
          <w:ilvl w:val="0"/>
          <w:numId w:val="8"/>
        </w:numPr>
        <w:rPr>
          <w:rStyle w:val="heading30"/>
          <w:b w:val="0"/>
        </w:rPr>
      </w:pPr>
      <w:r>
        <w:rPr>
          <w:rStyle w:val="heading30"/>
          <w:b w:val="0"/>
        </w:rPr>
        <w:t xml:space="preserve">A composite map of the yield events is made from the </w:t>
      </w:r>
      <w:r w:rsidRPr="004E1FCC">
        <w:rPr>
          <w:position w:val="-9"/>
        </w:rPr>
        <w:object w:dxaOrig="202" w:dyaOrig="269" w14:anchorId="4FD17842">
          <v:shape id="_x0000_i1039" type="#_x0000_t75" style="width:10pt;height:13.15pt" o:ole="">
            <v:imagedata r:id="rId34" o:title=""/>
          </v:shape>
          <o:OLEObject Type="Embed" ProgID="Equation.AxMath" ShapeID="_x0000_i1039" DrawAspect="Content" ObjectID="_1808679681" r:id="rId36"/>
        </w:object>
      </w:r>
      <w:r w:rsidR="00EA6BEB">
        <w:rPr>
          <w:rStyle w:val="heading30"/>
          <w:b w:val="0"/>
        </w:rPr>
        <w:t xml:space="preserve"> </w:t>
      </w:r>
      <w:r>
        <w:rPr>
          <w:rStyle w:val="heading30"/>
          <w:b w:val="0"/>
        </w:rPr>
        <w:t>analysis results.</w:t>
      </w:r>
    </w:p>
    <w:p w14:paraId="19325708" w14:textId="77777777" w:rsidR="009623D5" w:rsidRDefault="004E1FCC">
      <w:pPr>
        <w:pStyle w:val="ListParagraph"/>
        <w:numPr>
          <w:ilvl w:val="0"/>
          <w:numId w:val="8"/>
        </w:numPr>
        <w:rPr>
          <w:rStyle w:val="heading30"/>
          <w:b w:val="0"/>
        </w:rPr>
      </w:pPr>
      <w:r>
        <w:rPr>
          <w:rStyle w:val="heading30"/>
          <w:b w:val="0"/>
        </w:rPr>
        <w:t xml:space="preserve">The composite map is subjected to cluster analysis using, for example, the k-means algorithm. </w:t>
      </w:r>
    </w:p>
    <w:p w14:paraId="3B4189D9" w14:textId="77777777" w:rsidR="009623D5" w:rsidRDefault="004E1FCC">
      <w:pPr>
        <w:pStyle w:val="ListParagraph"/>
        <w:numPr>
          <w:ilvl w:val="0"/>
          <w:numId w:val="8"/>
        </w:numPr>
        <w:rPr>
          <w:rStyle w:val="heading30"/>
          <w:b w:val="0"/>
        </w:rPr>
      </w:pPr>
      <w:r>
        <w:rPr>
          <w:rStyle w:val="heading30"/>
          <w:b w:val="0"/>
        </w:rPr>
        <w:t>For each identified cluster, weighted linear regression analysis is used to determine an associated yield line segment. Slope adjustments are made to ensure the segments intersect at common points.</w:t>
      </w:r>
    </w:p>
    <w:p w14:paraId="5C522FA8" w14:textId="77777777" w:rsidR="009623D5" w:rsidRDefault="004E1FCC">
      <w:pPr>
        <w:pStyle w:val="ListParagraph"/>
        <w:numPr>
          <w:ilvl w:val="0"/>
          <w:numId w:val="8"/>
        </w:numPr>
        <w:rPr>
          <w:rStyle w:val="heading30"/>
          <w:b w:val="0"/>
        </w:rPr>
      </w:pPr>
      <w:r>
        <w:rPr>
          <w:rStyle w:val="heading30"/>
          <w:b w:val="0"/>
        </w:rPr>
        <w:t>Nodal density is graded according to a Gaussian distribution centered on each respective yield line segment.</w:t>
      </w:r>
    </w:p>
    <w:p w14:paraId="57FB3A77" w14:textId="77777777" w:rsidR="009623D5" w:rsidRDefault="009623D5">
      <w:pPr>
        <w:pStyle w:val="ListParagraph"/>
        <w:ind w:firstLine="0"/>
        <w:rPr>
          <w:rStyle w:val="heading30"/>
          <w:b w:val="0"/>
        </w:rPr>
      </w:pPr>
    </w:p>
    <w:p w14:paraId="5BFEB96D" w14:textId="77777777" w:rsidR="009623D5" w:rsidRDefault="004E1FCC" w:rsidP="008A4D7B">
      <w:pPr>
        <w:ind w:firstLine="0"/>
        <w:rPr>
          <w:rStyle w:val="heading30"/>
          <w:b w:val="0"/>
        </w:rPr>
      </w:pPr>
      <w:r>
        <w:rPr>
          <w:rStyle w:val="heading30"/>
          <w:b w:val="0"/>
        </w:rPr>
        <w:t>The gradation of nodal point density is accomplished using</w:t>
      </w:r>
    </w:p>
    <w:p w14:paraId="561C6E67" w14:textId="77777777" w:rsidR="008A4D7B" w:rsidRPr="008A4D7B" w:rsidRDefault="008A4D7B" w:rsidP="008A4D7B">
      <w:pPr>
        <w:pStyle w:val="AMDisplayEquation"/>
      </w:pPr>
      <w:r>
        <w:tab/>
      </w:r>
      <w:r w:rsidR="00E67E0E" w:rsidRPr="004E1FCC">
        <w:rPr>
          <w:position w:val="-9"/>
        </w:rPr>
        <w:object w:dxaOrig="1102" w:dyaOrig="269" w14:anchorId="31FF4F13">
          <v:shape id="_x0000_i1040" type="#_x0000_t75" style="width:55.1pt;height:13.15pt" o:ole="">
            <v:imagedata r:id="rId37" o:title=""/>
          </v:shape>
          <o:OLEObject Type="Embed" ProgID="Equation.AxMath" ShapeID="_x0000_i1040" DrawAspect="Content" ObjectID="_1808679682" r:id="rId38"/>
        </w:object>
      </w:r>
      <w:r>
        <w:tab/>
      </w:r>
      <w:r>
        <w:fldChar w:fldCharType="begin"/>
      </w:r>
      <w:r>
        <w:instrText xml:space="preserve"> MACROBUTTON AMMPlaceRM \* MERGEFORMAT </w:instrText>
      </w:r>
      <w:r>
        <w:fldChar w:fldCharType="begin"/>
      </w:r>
      <w:r>
        <w:instrText xml:space="preserve"> SEQ AMEqn \h \* MERGEFORMAT </w:instrText>
      </w:r>
      <w:r>
        <w:fldChar w:fldCharType="end"/>
      </w:r>
      <w:r>
        <w:instrText>(</w:instrText>
      </w:r>
      <w:fldSimple w:instr=" SEQ AMEqn \c \* Arabic \* MERGEFORMAT ">
        <w:r>
          <w:rPr>
            <w:noProof/>
          </w:rPr>
          <w:instrText>2</w:instrText>
        </w:r>
      </w:fldSimple>
      <w:r>
        <w:instrText>)</w:instrText>
      </w:r>
      <w:r>
        <w:fldChar w:fldCharType="end"/>
      </w:r>
    </w:p>
    <w:p w14:paraId="1BC43D29" w14:textId="77777777" w:rsidR="009623D5" w:rsidRDefault="004E1FCC" w:rsidP="00E67E0E">
      <w:pPr>
        <w:snapToGrid w:val="0"/>
        <w:spacing w:line="240" w:lineRule="exact"/>
        <w:ind w:firstLine="0"/>
        <w:rPr>
          <w:rStyle w:val="heading30"/>
          <w:b w:val="0"/>
        </w:rPr>
      </w:pPr>
      <w:r>
        <w:rPr>
          <w:rStyle w:val="heading30"/>
          <w:b w:val="0"/>
        </w:rPr>
        <w:t xml:space="preserve">where </w:t>
      </w:r>
      <w:r w:rsidRPr="004E1FCC">
        <w:rPr>
          <w:position w:val="-9"/>
        </w:rPr>
        <w:object w:dxaOrig="135" w:dyaOrig="269" w14:anchorId="2A89503D">
          <v:shape id="_x0000_i1041" type="#_x0000_t75" style="width:6.9pt;height:13.15pt" o:ole="">
            <v:imagedata r:id="rId39" o:title=""/>
          </v:shape>
          <o:OLEObject Type="Embed" ProgID="Equation.AxMath" ShapeID="_x0000_i1041" DrawAspect="Content" ObjectID="_1808679683" r:id="rId40"/>
        </w:object>
      </w:r>
      <w:r w:rsidR="00DA294D">
        <w:rPr>
          <w:rStyle w:val="heading30"/>
          <w:b w:val="0"/>
        </w:rPr>
        <w:t xml:space="preserve"> </w:t>
      </w:r>
      <w:r>
        <w:rPr>
          <w:rStyle w:val="heading30"/>
          <w:b w:val="0"/>
        </w:rPr>
        <w:t xml:space="preserve">is a prescribed function of position within the planar domain, and </w:t>
      </w:r>
      <w:r w:rsidRPr="004E1FCC">
        <w:rPr>
          <w:position w:val="-9"/>
        </w:rPr>
        <w:object w:dxaOrig="327" w:dyaOrig="269" w14:anchorId="70D800CF">
          <v:shape id="_x0000_i1042" type="#_x0000_t75" style="width:16.3pt;height:13.15pt" o:ole="">
            <v:imagedata r:id="rId41" o:title=""/>
          </v:shape>
          <o:OLEObject Type="Embed" ProgID="Equation.AxMath" ShapeID="_x0000_i1042" DrawAspect="Content" ObjectID="_1808679684" r:id="rId42"/>
        </w:object>
      </w:r>
      <w:r w:rsidR="00DA294D">
        <w:rPr>
          <w:rStyle w:val="heading30"/>
          <w:b w:val="0"/>
        </w:rPr>
        <w:t xml:space="preserve"> </w:t>
      </w:r>
      <w:r>
        <w:rPr>
          <w:rStyle w:val="heading30"/>
          <w:b w:val="0"/>
        </w:rPr>
        <w:t>constrains the minimum distance between neighboring generator points. Using Lloyd's algorithm</w:t>
      </w:r>
      <w:r w:rsidR="00DA294D">
        <w:rPr>
          <w:rStyle w:val="heading30"/>
          <w:b w:val="0"/>
        </w:rPr>
        <w:t xml:space="preserve"> </w:t>
      </w:r>
      <w:r w:rsidR="00DA294D">
        <w:rPr>
          <w:rStyle w:val="heading30"/>
          <w:b w:val="0"/>
        </w:rPr>
        <w:fldChar w:fldCharType="begin"/>
      </w:r>
      <w:r w:rsidR="00DA294D">
        <w:rPr>
          <w:rStyle w:val="heading30"/>
          <w:b w:val="0"/>
        </w:rPr>
        <w:instrText xml:space="preserve"> REF _Ref197961289 \w \h </w:instrText>
      </w:r>
      <w:r w:rsidR="00DA294D">
        <w:rPr>
          <w:rStyle w:val="heading30"/>
          <w:b w:val="0"/>
        </w:rPr>
      </w:r>
      <w:r w:rsidR="00DA294D">
        <w:rPr>
          <w:rStyle w:val="heading30"/>
          <w:b w:val="0"/>
        </w:rPr>
        <w:fldChar w:fldCharType="separate"/>
      </w:r>
      <w:r w:rsidR="008A4D7B">
        <w:rPr>
          <w:rStyle w:val="heading30"/>
          <w:b w:val="0"/>
        </w:rPr>
        <w:t>[6]</w:t>
      </w:r>
      <w:r w:rsidR="00DA294D">
        <w:rPr>
          <w:rStyle w:val="heading30"/>
          <w:b w:val="0"/>
        </w:rPr>
        <w:fldChar w:fldCharType="end"/>
      </w:r>
      <w:r>
        <w:rPr>
          <w:rStyle w:val="heading30"/>
          <w:b w:val="0"/>
        </w:rPr>
        <w:t xml:space="preserve">, </w:t>
      </w:r>
      <w:proofErr w:type="spellStart"/>
      <w:r>
        <w:rPr>
          <w:rStyle w:val="heading30"/>
          <w:b w:val="0"/>
        </w:rPr>
        <w:t>centroidal</w:t>
      </w:r>
      <w:proofErr w:type="spellEnd"/>
      <w:r>
        <w:rPr>
          <w:rStyle w:val="heading30"/>
          <w:b w:val="0"/>
        </w:rPr>
        <w:t xml:space="preserve"> </w:t>
      </w:r>
      <w:proofErr w:type="spellStart"/>
      <w:r>
        <w:rPr>
          <w:rStyle w:val="heading30"/>
          <w:b w:val="0"/>
        </w:rPr>
        <w:t>Voronoi</w:t>
      </w:r>
      <w:proofErr w:type="spellEnd"/>
      <w:r>
        <w:rPr>
          <w:rStyle w:val="heading30"/>
          <w:b w:val="0"/>
        </w:rPr>
        <w:t xml:space="preserve"> tessellations (CVT) are constructed for the examples that follow. Nodal points associated with support boundary conditions are excluded from the algorithmic updates.</w:t>
      </w:r>
    </w:p>
    <w:p w14:paraId="526B1C45" w14:textId="77777777" w:rsidR="009623D5" w:rsidRDefault="009623D5">
      <w:pPr>
        <w:ind w:firstLine="0"/>
        <w:rPr>
          <w:rStyle w:val="heading30"/>
          <w:b w:val="0"/>
        </w:rPr>
      </w:pPr>
    </w:p>
    <w:p w14:paraId="72285CC1" w14:textId="77777777" w:rsidR="009623D5" w:rsidRDefault="004E1FCC">
      <w:pPr>
        <w:pStyle w:val="heading1"/>
        <w:rPr>
          <w:rStyle w:val="heading30"/>
          <w:b/>
        </w:rPr>
      </w:pPr>
      <w:r>
        <w:rPr>
          <w:rStyle w:val="heading30"/>
          <w:b/>
        </w:rPr>
        <w:t>Plastic Limit Analyses</w:t>
      </w:r>
    </w:p>
    <w:p w14:paraId="117B4237" w14:textId="77777777" w:rsidR="009623D5" w:rsidRDefault="004E1FCC">
      <w:pPr>
        <w:pStyle w:val="p1a"/>
      </w:pPr>
      <w:r>
        <w:t xml:space="preserve">For fracture analyses, a secant approach has been used to accommodate material softening, in accordance with an energy balance criterion to ensure objective results. The </w:t>
      </w:r>
      <w:r>
        <w:lastRenderedPageBreak/>
        <w:t>element response tends to therefore have a saw-tooth appearance, which is common to some other event-based modeling strategies. Herein, elastic-plastic behavior is simulated by a controlled stress release, while maintaining initial stiffness. The secant approach becomes problematic for elements undergoing large plastic deformation.</w:t>
      </w:r>
    </w:p>
    <w:p w14:paraId="40A7F340" w14:textId="77777777" w:rsidR="009623D5" w:rsidRDefault="004E1FCC" w:rsidP="00E67E0E">
      <w:pPr>
        <w:snapToGrid w:val="0"/>
        <w:spacing w:line="240" w:lineRule="exact"/>
      </w:pPr>
      <w:r>
        <w:t xml:space="preserve">Grid refinement local to yield line(s) is based on yield event maps produced by coarse grid models. To facilitate results interpretation, the maps correspond to the event counts for elements within a single layer of the L-VCLM, rather than within its entire volume. With respect to the choice of layer, preliminary analyses suggest that any layer can be used for this purpose, except for those close to the neutral axis. Herein, the event maps are produced from the elements of layer 3, out of </w:t>
      </w:r>
      <w:r w:rsidRPr="004E1FCC">
        <w:rPr>
          <w:position w:val="-9"/>
        </w:rPr>
        <w:object w:dxaOrig="591" w:dyaOrig="269" w14:anchorId="29A3FE6F">
          <v:shape id="_x0000_i1043" type="#_x0000_t75" style="width:29.45pt;height:13.15pt" o:ole="">
            <v:imagedata r:id="rId43" o:title=""/>
          </v:shape>
          <o:OLEObject Type="Embed" ProgID="Equation.AxMath" ShapeID="_x0000_i1043" DrawAspect="Content" ObjectID="_1808679685" r:id="rId44"/>
        </w:object>
      </w:r>
      <w:r w:rsidR="00DA294D">
        <w:t xml:space="preserve"> </w:t>
      </w:r>
      <w:r>
        <w:t>layers. To demonstrate the procedure, two basic cases are considered: simply supported one-way and two-way slabs, for which the theoretical yield lines and corresponding limit loads are known</w:t>
      </w:r>
      <w:r>
        <w:rPr>
          <w:rFonts w:eastAsia="宋体" w:hint="eastAsia"/>
          <w:lang w:eastAsia="zh-CN"/>
        </w:rPr>
        <w:t xml:space="preserve"> </w:t>
      </w:r>
      <w:r>
        <w:fldChar w:fldCharType="begin"/>
      </w:r>
      <w:r>
        <w:instrText xml:space="preserve"> REF _Ref831036043 \w \h </w:instrText>
      </w:r>
      <w:r>
        <w:fldChar w:fldCharType="separate"/>
      </w:r>
      <w:r w:rsidR="008A4D7B">
        <w:t>[12]</w:t>
      </w:r>
      <w:r>
        <w:fldChar w:fldCharType="end"/>
      </w:r>
      <w:r>
        <w:t>.</w:t>
      </w:r>
    </w:p>
    <w:p w14:paraId="062BABBB" w14:textId="77777777" w:rsidR="009623D5" w:rsidRDefault="004E1FCC">
      <w:pPr>
        <w:jc w:val="center"/>
      </w:pPr>
      <w:r>
        <w:rPr>
          <w:noProof/>
          <w:lang w:eastAsia="ja-JP"/>
        </w:rPr>
        <w:drawing>
          <wp:inline distT="0" distB="0" distL="0" distR="0" wp14:anchorId="1364BE45" wp14:editId="1AE41DA8">
            <wp:extent cx="2664460" cy="119189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07140" cy="1211130"/>
                    </a:xfrm>
                    <a:prstGeom prst="rect">
                      <a:avLst/>
                    </a:prstGeom>
                  </pic:spPr>
                </pic:pic>
              </a:graphicData>
            </a:graphic>
          </wp:inline>
        </w:drawing>
      </w:r>
    </w:p>
    <w:p w14:paraId="5467D15D" w14:textId="77777777" w:rsidR="009623D5" w:rsidRDefault="004E1FCC">
      <w:pPr>
        <w:ind w:firstLine="0"/>
        <w:jc w:val="left"/>
        <w:rPr>
          <w:sz w:val="18"/>
          <w:szCs w:val="18"/>
        </w:rPr>
      </w:pPr>
      <w:r>
        <w:rPr>
          <w:b/>
          <w:sz w:val="18"/>
          <w:szCs w:val="18"/>
        </w:rPr>
        <w:t>Fig. 3.</w:t>
      </w:r>
      <w:r>
        <w:rPr>
          <w:sz w:val="18"/>
          <w:szCs w:val="18"/>
        </w:rPr>
        <w:t xml:space="preserve"> a) Simply supported one-way slab under lateral loading; and b) asymptotic limits of plastic yielding</w:t>
      </w:r>
    </w:p>
    <w:p w14:paraId="2DD7D1F9" w14:textId="77777777" w:rsidR="009623D5" w:rsidRDefault="004E1FCC">
      <w:pPr>
        <w:pStyle w:val="heading2"/>
      </w:pPr>
      <w:r>
        <w:t>One-way Slab Analysis</w:t>
      </w:r>
    </w:p>
    <w:p w14:paraId="4B9F1A98" w14:textId="77777777" w:rsidR="00DA294D" w:rsidRDefault="004E1FCC" w:rsidP="00E67E0E">
      <w:pPr>
        <w:pStyle w:val="p1a"/>
        <w:snapToGrid w:val="0"/>
        <w:spacing w:line="240" w:lineRule="exact"/>
      </w:pPr>
      <w:r>
        <w:t>For the triangular pressure distribution shown in Fig. 3, the maximum moment occurs at</w:t>
      </w:r>
      <w:r w:rsidR="00DA294D">
        <w:t xml:space="preserve"> </w:t>
      </w:r>
      <w:r w:rsidRPr="004E1FCC">
        <w:rPr>
          <w:position w:val="-9"/>
        </w:rPr>
        <w:object w:dxaOrig="842" w:dyaOrig="310" w14:anchorId="3C527F89">
          <v:shape id="_x0000_i1044" type="#_x0000_t75" style="width:41.95pt;height:15.65pt" o:ole="">
            <v:imagedata r:id="rId46" o:title=""/>
          </v:shape>
          <o:OLEObject Type="Embed" ProgID="Equation.AxMath" ShapeID="_x0000_i1044" DrawAspect="Content" ObjectID="_1808679686" r:id="rId47"/>
        </w:object>
      </w:r>
      <w:r>
        <w:t xml:space="preserve">. The lateral load associated with plastic collapse is </w:t>
      </w:r>
    </w:p>
    <w:p w14:paraId="31CC0A98" w14:textId="77777777" w:rsidR="00DA294D" w:rsidRDefault="008A4D7B" w:rsidP="008A4D7B">
      <w:pPr>
        <w:pStyle w:val="AMDisplayEquation"/>
      </w:pPr>
      <w:r>
        <w:tab/>
      </w:r>
      <w:r w:rsidR="004E1FCC" w:rsidRPr="004E1FCC">
        <w:rPr>
          <w:position w:val="-20"/>
        </w:rPr>
        <w:object w:dxaOrig="1156" w:dyaOrig="535" w14:anchorId="43F38BE0">
          <v:shape id="_x0000_i1045" type="#_x0000_t75" style="width:58.25pt;height:26.3pt" o:ole="">
            <v:imagedata r:id="rId48" o:title=""/>
          </v:shape>
          <o:OLEObject Type="Embed" ProgID="Equation.AxMath" ShapeID="_x0000_i1045" DrawAspect="Content" ObjectID="_1808679687" r:id="rId49"/>
        </w:object>
      </w:r>
      <w:r>
        <w:tab/>
      </w:r>
      <w:r>
        <w:fldChar w:fldCharType="begin"/>
      </w:r>
      <w:r>
        <w:instrText xml:space="preserve"> MACROBUTTON AMMPlaceRM \* MERGEFORMAT </w:instrText>
      </w:r>
      <w:r>
        <w:fldChar w:fldCharType="begin"/>
      </w:r>
      <w:r>
        <w:instrText xml:space="preserve"> SEQ AMEqn \h \* MERGEFORMAT </w:instrText>
      </w:r>
      <w:r>
        <w:fldChar w:fldCharType="end"/>
      </w:r>
      <w:r>
        <w:instrText>(</w:instrText>
      </w:r>
      <w:fldSimple w:instr=" SEQ AMEqn \c \* Arabic \* MERGEFORMAT ">
        <w:r>
          <w:rPr>
            <w:noProof/>
          </w:rPr>
          <w:instrText>3</w:instrText>
        </w:r>
      </w:fldSimple>
      <w:r>
        <w:instrText>)</w:instrText>
      </w:r>
      <w:r>
        <w:fldChar w:fldCharType="end"/>
      </w:r>
    </w:p>
    <w:p w14:paraId="7BBF26BB" w14:textId="77777777" w:rsidR="009623D5" w:rsidRDefault="004E1FCC" w:rsidP="00E67E0E">
      <w:pPr>
        <w:pStyle w:val="p1a"/>
        <w:snapToGrid w:val="0"/>
        <w:spacing w:line="240" w:lineRule="exact"/>
      </w:pPr>
      <w:r>
        <w:t xml:space="preserve">where </w:t>
      </w:r>
      <w:r w:rsidRPr="004E1FCC">
        <w:rPr>
          <w:position w:val="-9"/>
        </w:rPr>
        <w:object w:dxaOrig="284" w:dyaOrig="269" w14:anchorId="7149F9CC">
          <v:shape id="_x0000_i1046" type="#_x0000_t75" style="width:14.4pt;height:13.15pt" o:ole="">
            <v:imagedata r:id="rId50" o:title=""/>
          </v:shape>
          <o:OLEObject Type="Embed" ProgID="Equation.AxMath" ShapeID="_x0000_i1046" DrawAspect="Content" ObjectID="_1808679688" r:id="rId51"/>
        </w:object>
      </w:r>
      <w:r>
        <w:t xml:space="preserve"> is the plastic moment capacity of the cross-section. The lateral load is incrementally applied to the nodes associated with each respective Voronoi cell. The load value scales with the corresponding cell volume, multiplied by distance from the left support to obtain the triangular load distribution.</w:t>
      </w:r>
    </w:p>
    <w:p w14:paraId="6F3DD901" w14:textId="77777777" w:rsidR="009623D5" w:rsidRDefault="004E1FCC" w:rsidP="00E67E0E">
      <w:pPr>
        <w:snapToGrid w:val="0"/>
        <w:spacing w:line="240" w:lineRule="exact"/>
      </w:pPr>
      <w:r>
        <w:t>Figure 4 shows yield event maps produced from three random realizations of the slab, which has a thickness</w:t>
      </w:r>
      <w:r w:rsidR="00DA294D">
        <w:t xml:space="preserve"> </w:t>
      </w:r>
      <w:r w:rsidRPr="004E1FCC">
        <w:rPr>
          <w:position w:val="-9"/>
        </w:rPr>
        <w:object w:dxaOrig="715" w:dyaOrig="269" w14:anchorId="3E00F6C1">
          <v:shape id="_x0000_i1047" type="#_x0000_t75" style="width:35.7pt;height:13.15pt" o:ole="">
            <v:imagedata r:id="rId52" o:title=""/>
          </v:shape>
          <o:OLEObject Type="Embed" ProgID="Equation.AxMath" ShapeID="_x0000_i1047" DrawAspect="Content" ObjectID="_1808679689" r:id="rId53"/>
        </w:object>
      </w:r>
      <w:r>
        <w:t>. The color scale is based on a normalized measure of yield event count</w:t>
      </w:r>
    </w:p>
    <w:p w14:paraId="32BAEBFB" w14:textId="77777777" w:rsidR="00DA294D" w:rsidRDefault="008A4D7B" w:rsidP="008A4D7B">
      <w:pPr>
        <w:pStyle w:val="AMDisplayEquation"/>
      </w:pPr>
      <w:r>
        <w:tab/>
      </w:r>
      <w:r w:rsidR="004E1FCC" w:rsidRPr="004E1FCC">
        <w:rPr>
          <w:position w:val="-20"/>
        </w:rPr>
        <w:object w:dxaOrig="748" w:dyaOrig="494" w14:anchorId="46071677">
          <v:shape id="_x0000_i1048" type="#_x0000_t75" style="width:36.95pt;height:25.05pt" o:ole="">
            <v:imagedata r:id="rId54" o:title=""/>
          </v:shape>
          <o:OLEObject Type="Embed" ProgID="Equation.AxMath" ShapeID="_x0000_i1048" DrawAspect="Content" ObjectID="_1808679690" r:id="rId55"/>
        </w:object>
      </w:r>
      <w:r>
        <w:tab/>
      </w:r>
      <w:r>
        <w:fldChar w:fldCharType="begin"/>
      </w:r>
      <w:r>
        <w:instrText xml:space="preserve"> MACROBUTTON AMMPlaceRM \* MERGEFORMAT </w:instrText>
      </w:r>
      <w:r>
        <w:fldChar w:fldCharType="begin"/>
      </w:r>
      <w:r>
        <w:instrText xml:space="preserve"> SEQ AMEqn \h \* MERGEFORMAT </w:instrText>
      </w:r>
      <w:r>
        <w:fldChar w:fldCharType="end"/>
      </w:r>
      <w:r>
        <w:instrText>(</w:instrText>
      </w:r>
      <w:fldSimple w:instr=" SEQ AMEqn \c \* Arabic \* MERGEFORMAT ">
        <w:r>
          <w:rPr>
            <w:noProof/>
          </w:rPr>
          <w:instrText>4</w:instrText>
        </w:r>
      </w:fldSimple>
      <w:r>
        <w:instrText>)</w:instrText>
      </w:r>
      <w:r>
        <w:fldChar w:fldCharType="end"/>
      </w:r>
    </w:p>
    <w:p w14:paraId="47FBD652" w14:textId="77777777" w:rsidR="009623D5" w:rsidRDefault="004E1FCC" w:rsidP="00E67E0E">
      <w:pPr>
        <w:snapToGrid w:val="0"/>
        <w:spacing w:line="240" w:lineRule="exact"/>
        <w:ind w:firstLine="0"/>
      </w:pPr>
      <w:r>
        <w:t xml:space="preserve">where </w:t>
      </w:r>
      <w:r w:rsidRPr="004E1FCC">
        <w:rPr>
          <w:position w:val="-9"/>
        </w:rPr>
        <w:object w:dxaOrig="149" w:dyaOrig="269" w14:anchorId="18F5B098">
          <v:shape id="_x0000_i1049" type="#_x0000_t75" style="width:7.5pt;height:13.15pt" o:ole="">
            <v:imagedata r:id="rId56" o:title=""/>
          </v:shape>
          <o:OLEObject Type="Embed" ProgID="Equation.AxMath" ShapeID="_x0000_i1049" DrawAspect="Content" ObjectID="_1808679691" r:id="rId57"/>
        </w:object>
      </w:r>
      <w:r w:rsidR="00DA294D">
        <w:t xml:space="preserve"> </w:t>
      </w:r>
      <w:r>
        <w:t xml:space="preserve">is the number of events for a given element and </w:t>
      </w:r>
      <w:r w:rsidRPr="004E1FCC">
        <w:rPr>
          <w:position w:val="-9"/>
        </w:rPr>
        <w:object w:dxaOrig="359" w:dyaOrig="269" w14:anchorId="24847722">
          <v:shape id="_x0000_i1050" type="#_x0000_t75" style="width:17.55pt;height:13.15pt" o:ole="">
            <v:imagedata r:id="rId58" o:title=""/>
          </v:shape>
          <o:OLEObject Type="Embed" ProgID="Equation.AxMath" ShapeID="_x0000_i1050" DrawAspect="Content" ObjectID="_1808679692" r:id="rId59"/>
        </w:object>
      </w:r>
      <w:r>
        <w:t xml:space="preserve"> is the maximum number of events experienced by any element within the set of </w:t>
      </w:r>
      <w:r w:rsidRPr="004E1FCC">
        <w:rPr>
          <w:position w:val="-9"/>
        </w:rPr>
        <w:object w:dxaOrig="202" w:dyaOrig="269" w14:anchorId="08DB2ADF">
          <v:shape id="_x0000_i1051" type="#_x0000_t75" style="width:10pt;height:13.15pt" o:ole="">
            <v:imagedata r:id="rId34" o:title=""/>
          </v:shape>
          <o:OLEObject Type="Embed" ProgID="Equation.AxMath" ShapeID="_x0000_i1051" DrawAspect="Content" ObjectID="_1808679693" r:id="rId60"/>
        </w:object>
      </w:r>
      <w:r w:rsidR="00DA294D">
        <w:t xml:space="preserve"> </w:t>
      </w:r>
      <w:r>
        <w:t xml:space="preserve">models. It can be shown that </w:t>
      </w:r>
      <w:r w:rsidRPr="004E1FCC">
        <w:rPr>
          <w:position w:val="-9"/>
        </w:rPr>
        <w:object w:dxaOrig="147" w:dyaOrig="269" w14:anchorId="5B08667B">
          <v:shape id="_x0000_i1052" type="#_x0000_t75" style="width:7.5pt;height:13.15pt" o:ole="">
            <v:imagedata r:id="rId61" o:title=""/>
          </v:shape>
          <o:OLEObject Type="Embed" ProgID="Equation.AxMath" ShapeID="_x0000_i1052" DrawAspect="Content" ObjectID="_1808679694" r:id="rId62"/>
        </w:object>
      </w:r>
      <w:r w:rsidR="00DA294D">
        <w:t xml:space="preserve"> </w:t>
      </w:r>
      <w:r>
        <w:t>correlates well with the magnitude of plastic strain.</w:t>
      </w:r>
    </w:p>
    <w:p w14:paraId="2359F556" w14:textId="77777777" w:rsidR="009623D5" w:rsidRDefault="004E1FCC" w:rsidP="00E67E0E">
      <w:pPr>
        <w:snapToGrid w:val="0"/>
        <w:spacing w:line="240" w:lineRule="exact"/>
      </w:pPr>
      <w:r>
        <w:t xml:space="preserve">Weighted least squares regression analysis of the each event map produces estimates of the yield line location, as shown in Fig. 4. Each yield indicator is weighted by its </w:t>
      </w:r>
      <w:r w:rsidRPr="004E1FCC">
        <w:rPr>
          <w:position w:val="-9"/>
        </w:rPr>
        <w:object w:dxaOrig="147" w:dyaOrig="269" w14:anchorId="6C5062BC">
          <v:shape id="_x0000_i1053" type="#_x0000_t75" style="width:7.5pt;height:13.15pt" o:ole="">
            <v:imagedata r:id="rId61" o:title=""/>
          </v:shape>
          <o:OLEObject Type="Embed" ProgID="Equation.AxMath" ShapeID="_x0000_i1053" DrawAspect="Content" ObjectID="_1808679695" r:id="rId63"/>
        </w:object>
      </w:r>
      <w:r w:rsidR="00DA294D">
        <w:t xml:space="preserve"> </w:t>
      </w:r>
      <w:r>
        <w:lastRenderedPageBreak/>
        <w:t>value, such that locations with a higher event count act more prominently in position determination.</w:t>
      </w:r>
    </w:p>
    <w:p w14:paraId="4D25AD26" w14:textId="77777777" w:rsidR="009623D5" w:rsidRDefault="004E1FCC">
      <w:pPr>
        <w:jc w:val="center"/>
      </w:pPr>
      <w:r>
        <w:rPr>
          <w:noProof/>
          <w:lang w:eastAsia="ja-JP"/>
        </w:rPr>
        <w:drawing>
          <wp:inline distT="0" distB="0" distL="0" distR="0" wp14:anchorId="62E8AF45" wp14:editId="1398D657">
            <wp:extent cx="3350260" cy="1920240"/>
            <wp:effectExtent l="0" t="0" r="254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360869" cy="1926256"/>
                    </a:xfrm>
                    <a:prstGeom prst="rect">
                      <a:avLst/>
                    </a:prstGeom>
                  </pic:spPr>
                </pic:pic>
              </a:graphicData>
            </a:graphic>
          </wp:inline>
        </w:drawing>
      </w:r>
    </w:p>
    <w:p w14:paraId="39705A87" w14:textId="77777777" w:rsidR="009623D5" w:rsidRDefault="004E1FCC">
      <w:pPr>
        <w:jc w:val="center"/>
        <w:rPr>
          <w:sz w:val="18"/>
          <w:szCs w:val="18"/>
        </w:rPr>
      </w:pPr>
      <w:r>
        <w:rPr>
          <w:b/>
          <w:sz w:val="18"/>
          <w:szCs w:val="18"/>
        </w:rPr>
        <w:t>Fig. 4.</w:t>
      </w:r>
      <w:r>
        <w:rPr>
          <w:sz w:val="18"/>
          <w:szCs w:val="18"/>
        </w:rPr>
        <w:t xml:space="preserve"> Determination of yield line trajectory based on individual maps of yield events</w:t>
      </w:r>
    </w:p>
    <w:p w14:paraId="264DD113" w14:textId="77777777" w:rsidR="009623D5" w:rsidRDefault="009623D5">
      <w:pPr>
        <w:jc w:val="center"/>
        <w:rPr>
          <w:sz w:val="18"/>
          <w:szCs w:val="18"/>
        </w:rPr>
      </w:pPr>
    </w:p>
    <w:p w14:paraId="125A8C30" w14:textId="77777777" w:rsidR="009623D5" w:rsidRDefault="004E1FCC" w:rsidP="00E67E0E">
      <w:pPr>
        <w:snapToGrid w:val="0"/>
        <w:spacing w:line="240" w:lineRule="exact"/>
      </w:pPr>
      <w:r>
        <w:t xml:space="preserve">The yield event sample from any one simulation is subject to variation due to the random geometry of the coarse lattice. By making a composite map from all </w:t>
      </w:r>
      <w:r w:rsidRPr="004E1FCC">
        <w:rPr>
          <w:position w:val="-9"/>
        </w:rPr>
        <w:object w:dxaOrig="202" w:dyaOrig="269" w14:anchorId="69638D23">
          <v:shape id="_x0000_i1054" type="#_x0000_t75" style="width:10pt;height:13.15pt" o:ole="">
            <v:imagedata r:id="rId34" o:title=""/>
          </v:shape>
          <o:OLEObject Type="Embed" ProgID="Equation.AxMath" ShapeID="_x0000_i1054" DrawAspect="Content" ObjectID="_1808679696" r:id="rId65"/>
        </w:object>
      </w:r>
      <w:r>
        <w:t xml:space="preserve"> data sets, a presumably better estimate of the yield line trajectory can be obtained, as shown in Fig. 5a. Indeed, the segment estimated by regression analysis of the composite map agrees well with the theoretical solution. Based on a Gaussian distribution, nodal density is increased local to this yield line segment, resulting in the L-VCLM shown in Fig. 5b.</w:t>
      </w:r>
    </w:p>
    <w:p w14:paraId="36C0CF73" w14:textId="77777777" w:rsidR="009623D5" w:rsidRDefault="004E1FCC">
      <w:pPr>
        <w:jc w:val="center"/>
      </w:pPr>
      <w:r>
        <w:rPr>
          <w:noProof/>
          <w:lang w:eastAsia="ja-JP"/>
        </w:rPr>
        <w:drawing>
          <wp:inline distT="0" distB="0" distL="0" distR="0" wp14:anchorId="2B2A6723" wp14:editId="14C36104">
            <wp:extent cx="3464560" cy="1964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476082" cy="1971689"/>
                    </a:xfrm>
                    <a:prstGeom prst="rect">
                      <a:avLst/>
                    </a:prstGeom>
                  </pic:spPr>
                </pic:pic>
              </a:graphicData>
            </a:graphic>
          </wp:inline>
        </w:drawing>
      </w:r>
    </w:p>
    <w:p w14:paraId="1DE34998" w14:textId="77777777" w:rsidR="009623D5" w:rsidRDefault="004E1FCC">
      <w:pPr>
        <w:ind w:firstLine="0"/>
        <w:rPr>
          <w:sz w:val="18"/>
          <w:szCs w:val="18"/>
        </w:rPr>
      </w:pPr>
      <w:r>
        <w:rPr>
          <w:b/>
          <w:sz w:val="18"/>
          <w:szCs w:val="18"/>
        </w:rPr>
        <w:t>Fig. 5.</w:t>
      </w:r>
      <w:r>
        <w:rPr>
          <w:sz w:val="18"/>
          <w:szCs w:val="18"/>
        </w:rPr>
        <w:t xml:space="preserve">  a) Estimated yield line position based on a composite map of four sets of data from element layer 3; b) refined grid using estimated yield line position; and c) associated yield event map compared with theoretical yield zone bounds.</w:t>
      </w:r>
    </w:p>
    <w:p w14:paraId="338B0564" w14:textId="77777777" w:rsidR="009623D5" w:rsidRDefault="004E1FCC">
      <w:pPr>
        <w:ind w:firstLine="0"/>
        <w:jc w:val="center"/>
        <w:rPr>
          <w:sz w:val="18"/>
          <w:szCs w:val="18"/>
        </w:rPr>
      </w:pPr>
      <w:r>
        <w:rPr>
          <w:noProof/>
          <w:sz w:val="18"/>
          <w:szCs w:val="18"/>
          <w:lang w:eastAsia="ja-JP"/>
        </w:rPr>
        <w:lastRenderedPageBreak/>
        <w:drawing>
          <wp:inline distT="0" distB="0" distL="0" distR="0" wp14:anchorId="266D8BE1" wp14:editId="539BFDC5">
            <wp:extent cx="1811020" cy="17360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24306" cy="1749150"/>
                    </a:xfrm>
                    <a:prstGeom prst="rect">
                      <a:avLst/>
                    </a:prstGeom>
                  </pic:spPr>
                </pic:pic>
              </a:graphicData>
            </a:graphic>
          </wp:inline>
        </w:drawing>
      </w:r>
    </w:p>
    <w:p w14:paraId="775A9781" w14:textId="77777777" w:rsidR="009623D5" w:rsidRDefault="004E1FCC">
      <w:pPr>
        <w:ind w:firstLine="0"/>
        <w:jc w:val="center"/>
        <w:rPr>
          <w:sz w:val="18"/>
          <w:szCs w:val="18"/>
        </w:rPr>
      </w:pPr>
      <w:r>
        <w:rPr>
          <w:b/>
          <w:sz w:val="18"/>
          <w:szCs w:val="18"/>
        </w:rPr>
        <w:t>Fig. 6.</w:t>
      </w:r>
      <w:r>
        <w:rPr>
          <w:sz w:val="18"/>
          <w:szCs w:val="18"/>
        </w:rPr>
        <w:t xml:space="preserve"> Lateral pressure versus midspan displacement for one-way slab examples</w:t>
      </w:r>
    </w:p>
    <w:p w14:paraId="69732952" w14:textId="77777777" w:rsidR="009623D5" w:rsidRDefault="009623D5">
      <w:pPr>
        <w:ind w:firstLine="0"/>
        <w:jc w:val="center"/>
        <w:rPr>
          <w:sz w:val="18"/>
          <w:szCs w:val="18"/>
        </w:rPr>
      </w:pPr>
    </w:p>
    <w:p w14:paraId="02051991" w14:textId="77777777" w:rsidR="009623D5" w:rsidRDefault="004E1FCC" w:rsidP="00E67E0E">
      <w:pPr>
        <w:snapToGrid w:val="0"/>
        <w:spacing w:line="240" w:lineRule="exact"/>
      </w:pPr>
      <w:r>
        <w:t>The utility of grid refinement local to the yield line segment is evident when plotting the load versus displacement response of the slab. Figure 6 presents the relation between lateral pressure and midspan displacement for each case considered in Fig. 4, along with the adaptation shown in Fig. 5. The lateral pressure and displacement values have been normalized by the theoretical pressure, associated with the plastic limit, and the midspan displacement at yield initiation, respectively. For the coarse, uniform discretizations of the slab, the plastic limi</w:t>
      </w:r>
      <w:r w:rsidR="00EB0EC9">
        <w:t>t loads are about 50</w:t>
      </w:r>
      <w:r>
        <w:t xml:space="preserve">% greater than the theoretical value. The </w:t>
      </w:r>
      <w:proofErr w:type="spellStart"/>
      <w:r>
        <w:t>overstrength</w:t>
      </w:r>
      <w:proofErr w:type="spellEnd"/>
      <w:r>
        <w:t xml:space="preserve"> is caused by the</w:t>
      </w:r>
      <w:r w:rsidR="001738DA">
        <w:t xml:space="preserve"> inability of </w:t>
      </w:r>
      <w:r w:rsidR="001738DA" w:rsidRPr="006B1AF3">
        <w:rPr>
          <w:color w:val="FF0000"/>
        </w:rPr>
        <w:t>the coarse grid (</w:t>
      </w:r>
      <w:r w:rsidRPr="006B1AF3">
        <w:rPr>
          <w:color w:val="FF0000"/>
          <w:position w:val="-9"/>
        </w:rPr>
        <w:object w:dxaOrig="446" w:dyaOrig="269" w14:anchorId="22634FE6">
          <v:shape id="_x0000_i1055" type="#_x0000_t75" style="width:22.55pt;height:13.15pt" o:ole="">
            <v:imagedata r:id="rId68" o:title=""/>
          </v:shape>
          <o:OLEObject Type="Embed" ProgID="Equation.AxMath" ShapeID="_x0000_i1055" DrawAspect="Content" ObjectID="_1808679697" r:id="rId69"/>
        </w:object>
      </w:r>
      <w:r w:rsidRPr="006B1AF3">
        <w:rPr>
          <w:color w:val="FF0000"/>
        </w:rPr>
        <w:t xml:space="preserve">) </w:t>
      </w:r>
      <w:r>
        <w:t>to accommodate flexural deformation</w:t>
      </w:r>
      <w:r w:rsidR="006A6955">
        <w:t>, where</w:t>
      </w:r>
      <w:r w:rsidR="00791265">
        <w:t xml:space="preserve"> </w:t>
      </w:r>
      <w:r w:rsidR="00791265" w:rsidRPr="00791265">
        <w:rPr>
          <w:rFonts w:ascii="Symbol" w:hAnsi="Symbol"/>
          <w:i/>
        </w:rPr>
        <w:t></w:t>
      </w:r>
      <w:r w:rsidR="00791265">
        <w:t xml:space="preserve"> = </w:t>
      </w:r>
      <w:r w:rsidR="00791265" w:rsidRPr="00791265">
        <w:rPr>
          <w:i/>
        </w:rPr>
        <w:t>h/t</w:t>
      </w:r>
      <w:r w:rsidR="00791265">
        <w:t xml:space="preserve"> is the average element aspect ratio</w:t>
      </w:r>
      <w:r>
        <w:t xml:space="preserve">. By refining the grid local to the yield line segment, </w:t>
      </w:r>
      <w:r w:rsidRPr="004E1FCC">
        <w:rPr>
          <w:position w:val="-9"/>
        </w:rPr>
        <w:object w:dxaOrig="134" w:dyaOrig="269" w14:anchorId="56FD0285">
          <v:shape id="_x0000_i1056" type="#_x0000_t75" style="width:6.25pt;height:13.15pt" o:ole="">
            <v:imagedata r:id="rId70" o:title=""/>
          </v:shape>
          <o:OLEObject Type="Embed" ProgID="Equation.AxMath" ShapeID="_x0000_i1056" DrawAspect="Content" ObjectID="_1808679698" r:id="rId71"/>
        </w:object>
      </w:r>
      <w:r w:rsidR="001738DA">
        <w:t xml:space="preserve"> </w:t>
      </w:r>
      <w:r>
        <w:t>is reduced such that the stress field within each layer approaches membrane conditions. The plastic limit load approaches the theoretical value.</w:t>
      </w:r>
    </w:p>
    <w:p w14:paraId="18B27CEF" w14:textId="77777777" w:rsidR="009623D5" w:rsidRDefault="004E1FCC">
      <w:pPr>
        <w:pStyle w:val="heading2"/>
      </w:pPr>
      <w:r>
        <w:t>Two-way Slab Analysis</w:t>
      </w:r>
    </w:p>
    <w:p w14:paraId="126FAB94" w14:textId="77777777" w:rsidR="009623D5" w:rsidRDefault="004E1FCC" w:rsidP="00E67E0E">
      <w:pPr>
        <w:pStyle w:val="p1a"/>
        <w:snapToGrid w:val="0"/>
        <w:spacing w:line="240" w:lineRule="exact"/>
      </w:pPr>
      <w:r>
        <w:t xml:space="preserve">A two-way slab, with plan aspect ratio </w:t>
      </w:r>
      <w:r w:rsidRPr="004E1FCC">
        <w:rPr>
          <w:position w:val="-9"/>
        </w:rPr>
        <w:object w:dxaOrig="607" w:dyaOrig="269" w14:anchorId="43568B99">
          <v:shape id="_x0000_i1057" type="#_x0000_t75" style="width:30.05pt;height:13.15pt" o:ole="">
            <v:imagedata r:id="rId72" o:title=""/>
          </v:shape>
          <o:OLEObject Type="Embed" ProgID="Equation.AxMath" ShapeID="_x0000_i1057" DrawAspect="Content" ObjectID="_1808679699" r:id="rId73"/>
        </w:object>
      </w:r>
      <w:r>
        <w:t xml:space="preserve"> and thickness</w:t>
      </w:r>
      <w:r w:rsidR="001738DA">
        <w:t xml:space="preserve"> </w:t>
      </w:r>
      <w:r w:rsidRPr="004E1FCC">
        <w:rPr>
          <w:position w:val="-9"/>
        </w:rPr>
        <w:object w:dxaOrig="684" w:dyaOrig="269" w14:anchorId="6A3639E8">
          <v:shape id="_x0000_i1058" type="#_x0000_t75" style="width:33.8pt;height:13.15pt" o:ole="">
            <v:imagedata r:id="rId74" o:title=""/>
          </v:shape>
          <o:OLEObject Type="Embed" ProgID="Equation.AxMath" ShapeID="_x0000_i1058" DrawAspect="Content" ObjectID="_1808679700" r:id="rId75"/>
        </w:object>
      </w:r>
      <w:r>
        <w:t>,  is simply supported along its edges. With loading into the inelastic range, yield bands form as shown in Fig. 7a. As for the one-way slab example, element yielding is presented in terms of normalized event count,</w:t>
      </w:r>
      <w:r w:rsidR="001738DA">
        <w:t xml:space="preserve"> </w:t>
      </w:r>
      <w:r w:rsidRPr="004E1FCC">
        <w:rPr>
          <w:position w:val="-9"/>
        </w:rPr>
        <w:object w:dxaOrig="147" w:dyaOrig="269" w14:anchorId="3D586481">
          <v:shape id="_x0000_i1059" type="#_x0000_t75" style="width:7.5pt;height:13.15pt" o:ole="">
            <v:imagedata r:id="rId61" o:title=""/>
          </v:shape>
          <o:OLEObject Type="Embed" ProgID="Equation.AxMath" ShapeID="_x0000_i1059" DrawAspect="Content" ObjectID="_1808679701" r:id="rId76"/>
        </w:object>
      </w:r>
      <w:r>
        <w:t>. In contrast to most theoretical derivations of plastic limit load, which assume one-dimensional yield lines, plastic zone formation is a multi-dimensional process in actual structures. As previously described, plastic yielding spreads along the surfaces of the plate as the elastic core of the section allows for increased loading. Nonetheless, the simulated yield bands shown in Fig. 7a exhibit the classical yield line pattern for a rectangular slab with these boundary conditions.</w:t>
      </w:r>
    </w:p>
    <w:p w14:paraId="61161392" w14:textId="77777777" w:rsidR="009623D5" w:rsidRDefault="009623D5">
      <w:pPr>
        <w:jc w:val="center"/>
      </w:pPr>
    </w:p>
    <w:p w14:paraId="26F9BAD5" w14:textId="77777777" w:rsidR="009623D5" w:rsidRDefault="004E1FCC">
      <w:pPr>
        <w:jc w:val="center"/>
      </w:pPr>
      <w:r>
        <w:rPr>
          <w:noProof/>
          <w:lang w:eastAsia="ja-JP"/>
        </w:rPr>
        <w:lastRenderedPageBreak/>
        <w:drawing>
          <wp:inline distT="0" distB="0" distL="0" distR="0" wp14:anchorId="03147FEF" wp14:editId="447CA9D9">
            <wp:extent cx="2950966" cy="281233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990657" cy="2850158"/>
                    </a:xfrm>
                    <a:prstGeom prst="rect">
                      <a:avLst/>
                    </a:prstGeom>
                  </pic:spPr>
                </pic:pic>
              </a:graphicData>
            </a:graphic>
          </wp:inline>
        </w:drawing>
      </w:r>
    </w:p>
    <w:p w14:paraId="55813B58" w14:textId="33A727C6" w:rsidR="009623D5" w:rsidRDefault="004E1FCC">
      <w:pPr>
        <w:jc w:val="center"/>
        <w:rPr>
          <w:sz w:val="18"/>
          <w:szCs w:val="18"/>
        </w:rPr>
      </w:pPr>
      <w:r>
        <w:rPr>
          <w:b/>
          <w:sz w:val="18"/>
          <w:szCs w:val="18"/>
        </w:rPr>
        <w:t>Fig. 7.</w:t>
      </w:r>
      <w:r>
        <w:rPr>
          <w:sz w:val="18"/>
          <w:szCs w:val="18"/>
        </w:rPr>
        <w:t xml:space="preserve"> </w:t>
      </w:r>
      <w:r w:rsidR="0064476E">
        <w:rPr>
          <w:sz w:val="18"/>
          <w:szCs w:val="18"/>
        </w:rPr>
        <w:t xml:space="preserve">a) </w:t>
      </w:r>
      <w:r>
        <w:rPr>
          <w:sz w:val="18"/>
          <w:szCs w:val="18"/>
        </w:rPr>
        <w:t>Yield event pattern for two-way slab subjected to out-of-plane loading</w:t>
      </w:r>
      <w:r w:rsidR="0064476E">
        <w:rPr>
          <w:sz w:val="18"/>
          <w:szCs w:val="18"/>
        </w:rPr>
        <w:t>; and b) yield line segments identified through cluster analysis</w:t>
      </w:r>
    </w:p>
    <w:p w14:paraId="59CE8120" w14:textId="77777777" w:rsidR="009623D5" w:rsidRDefault="009623D5">
      <w:pPr>
        <w:jc w:val="center"/>
        <w:rPr>
          <w:sz w:val="18"/>
          <w:szCs w:val="18"/>
        </w:rPr>
      </w:pPr>
    </w:p>
    <w:p w14:paraId="623C8084" w14:textId="77777777" w:rsidR="009623D5" w:rsidRDefault="004E1FCC" w:rsidP="00E67E0E">
      <w:pPr>
        <w:snapToGrid w:val="0"/>
        <w:spacing w:line="240" w:lineRule="exact"/>
      </w:pPr>
      <w:r>
        <w:t xml:space="preserve">As noted in Section 3, the process of adaptive refinement involves cluster analyses of the yield events. Figure 7b presents the results obtained from </w:t>
      </w:r>
      <w:r w:rsidRPr="004E1FCC">
        <w:rPr>
          <w:position w:val="-9"/>
        </w:rPr>
        <w:object w:dxaOrig="498" w:dyaOrig="269" w14:anchorId="7D8CC23F">
          <v:shape id="_x0000_i1060" type="#_x0000_t75" style="width:25.05pt;height:13.15pt" o:ole="">
            <v:imagedata r:id="rId78" o:title=""/>
          </v:shape>
          <o:OLEObject Type="Embed" ProgID="Equation.AxMath" ShapeID="_x0000_i1060" DrawAspect="Content" ObjectID="_1808679702" r:id="rId79"/>
        </w:object>
      </w:r>
      <w:r>
        <w:t xml:space="preserve"> structural models and a k-means algorithm</w:t>
      </w:r>
      <w:r>
        <w:rPr>
          <w:rFonts w:eastAsia="宋体" w:hint="eastAsia"/>
          <w:lang w:eastAsia="zh-CN"/>
        </w:rPr>
        <w:t xml:space="preserve"> </w:t>
      </w:r>
      <w:r>
        <w:fldChar w:fldCharType="begin"/>
      </w:r>
      <w:r>
        <w:instrText xml:space="preserve"> REF _Ref831859586 \w \h </w:instrText>
      </w:r>
      <w:r>
        <w:fldChar w:fldCharType="separate"/>
      </w:r>
      <w:r w:rsidR="008A4D7B">
        <w:t>[14]</w:t>
      </w:r>
      <w:r>
        <w:fldChar w:fldCharType="end"/>
      </w:r>
      <w:r>
        <w:t>. In lieu of silhouette score analysis or other procedures to determine an a</w:t>
      </w:r>
      <w:r w:rsidR="00791265">
        <w:t xml:space="preserve">ppropriate number of clusters, </w:t>
      </w:r>
      <w:r>
        <w:t xml:space="preserve">the number (=5) is based on knowledge of the theoretical solution. Weighted least squares regression is used to estimate the yield line segment associated with each cluster. The regression lines were constrained to pass nearby the slab corners by introducing a heavily weighted point at each corner location. Grid refinement, as shown in Fig. 9a, is based on this estimated set of yield line segments and a map to control nodal point density (presented in Fig. 8 for this case, where </w:t>
      </w:r>
      <w:r w:rsidRPr="004E1FCC">
        <w:rPr>
          <w:position w:val="-9"/>
        </w:rPr>
        <w:object w:dxaOrig="139" w:dyaOrig="269" w14:anchorId="1C04E89E">
          <v:shape id="_x0000_i1061" type="#_x0000_t75" style="width:6.9pt;height:13.15pt" o:ole="">
            <v:imagedata r:id="rId80" o:title=""/>
          </v:shape>
          <o:OLEObject Type="Embed" ProgID="Equation.AxMath" ShapeID="_x0000_i1061" DrawAspect="Content" ObjectID="_1808679703" r:id="rId81"/>
        </w:object>
      </w:r>
      <w:r>
        <w:t xml:space="preserve"> is target density and </w:t>
      </w:r>
      <w:r w:rsidRPr="004E1FCC">
        <w:rPr>
          <w:position w:val="-9"/>
        </w:rPr>
        <w:object w:dxaOrig="456" w:dyaOrig="269" w14:anchorId="035CC773">
          <v:shape id="_x0000_i1062" type="#_x0000_t75" style="width:22.55pt;height:13.15pt" o:ole="">
            <v:imagedata r:id="rId82" o:title=""/>
          </v:shape>
          <o:OLEObject Type="Embed" ProgID="Equation.AxMath" ShapeID="_x0000_i1062" DrawAspect="Content" ObjectID="_1808679704" r:id="rId83"/>
        </w:object>
      </w:r>
      <w:r>
        <w:t xml:space="preserve"> increases density). Regions adjacent to these segments were coarsened to reduce computational expense.</w:t>
      </w:r>
      <w:r w:rsidR="003D3775">
        <w:t xml:space="preserve"> The corresponding map of yield events is presented in Fig. 9b.</w:t>
      </w:r>
    </w:p>
    <w:p w14:paraId="461B2444" w14:textId="77777777" w:rsidR="009623D5" w:rsidRDefault="004E1FCC">
      <w:pPr>
        <w:jc w:val="center"/>
      </w:pPr>
      <w:r>
        <w:rPr>
          <w:noProof/>
          <w:lang w:eastAsia="ja-JP"/>
        </w:rPr>
        <w:drawing>
          <wp:inline distT="0" distB="0" distL="0" distR="0" wp14:anchorId="195C3649" wp14:editId="019B4825">
            <wp:extent cx="2640119" cy="1667344"/>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671209" cy="1686979"/>
                    </a:xfrm>
                    <a:prstGeom prst="rect">
                      <a:avLst/>
                    </a:prstGeom>
                  </pic:spPr>
                </pic:pic>
              </a:graphicData>
            </a:graphic>
          </wp:inline>
        </w:drawing>
      </w:r>
    </w:p>
    <w:p w14:paraId="1A4B1627" w14:textId="77777777" w:rsidR="009623D5" w:rsidRDefault="004E1FCC">
      <w:pPr>
        <w:jc w:val="center"/>
        <w:rPr>
          <w:sz w:val="18"/>
          <w:szCs w:val="18"/>
        </w:rPr>
      </w:pPr>
      <w:r>
        <w:rPr>
          <w:b/>
          <w:sz w:val="18"/>
          <w:szCs w:val="18"/>
        </w:rPr>
        <w:t>Fig. 8.</w:t>
      </w:r>
      <w:r>
        <w:rPr>
          <w:sz w:val="18"/>
          <w:szCs w:val="18"/>
        </w:rPr>
        <w:t xml:space="preserve"> Density map for generating centroidal Voronoi diagram</w:t>
      </w:r>
    </w:p>
    <w:p w14:paraId="4D9D9AA7" w14:textId="77777777" w:rsidR="009623D5" w:rsidRDefault="009623D5">
      <w:pPr>
        <w:jc w:val="center"/>
        <w:rPr>
          <w:sz w:val="18"/>
          <w:szCs w:val="18"/>
        </w:rPr>
      </w:pPr>
    </w:p>
    <w:p w14:paraId="3242D342" w14:textId="77777777" w:rsidR="009623D5" w:rsidRDefault="004E1FCC">
      <w:pPr>
        <w:rPr>
          <w:rFonts w:eastAsia="宋体"/>
          <w:lang w:eastAsia="zh-CN"/>
        </w:rPr>
      </w:pPr>
      <w:r>
        <w:t>The horizontal position of intersection of yield lines is given by</w:t>
      </w:r>
      <w:r>
        <w:rPr>
          <w:rFonts w:eastAsia="宋体" w:hint="eastAsia"/>
          <w:lang w:eastAsia="zh-CN"/>
        </w:rPr>
        <w:t xml:space="preserve"> </w:t>
      </w:r>
      <w:r>
        <w:fldChar w:fldCharType="begin"/>
      </w:r>
      <w:r>
        <w:instrText xml:space="preserve"> REF _Ref831036043 \w \h </w:instrText>
      </w:r>
      <w:r>
        <w:fldChar w:fldCharType="separate"/>
      </w:r>
      <w:r w:rsidR="008A4D7B">
        <w:t>[12]</w:t>
      </w:r>
      <w:r>
        <w:fldChar w:fldCharType="end"/>
      </w:r>
    </w:p>
    <w:p w14:paraId="48AF559B" w14:textId="77777777" w:rsidR="001738DA" w:rsidRDefault="008A4D7B" w:rsidP="008A4D7B">
      <w:pPr>
        <w:pStyle w:val="AMDisplayEquation"/>
      </w:pPr>
      <w:r>
        <w:tab/>
      </w:r>
      <w:r w:rsidR="004E1FCC" w:rsidRPr="004E1FCC">
        <w:rPr>
          <w:position w:val="-20"/>
        </w:rPr>
        <w:object w:dxaOrig="2169" w:dyaOrig="503" w14:anchorId="3D2B5AB4">
          <v:shape id="_x0000_i1063" type="#_x0000_t75" style="width:108.3pt;height:25.05pt" o:ole="">
            <v:imagedata r:id="rId85" o:title=""/>
          </v:shape>
          <o:OLEObject Type="Embed" ProgID="Equation.AxMath" ShapeID="_x0000_i1063" DrawAspect="Content" ObjectID="_1808679705" r:id="rId86"/>
        </w:object>
      </w:r>
      <w:r>
        <w:tab/>
      </w:r>
      <w:r>
        <w:fldChar w:fldCharType="begin"/>
      </w:r>
      <w:r>
        <w:instrText xml:space="preserve"> MACROBUTTON AMMPlaceRM \* MERGEFORMAT </w:instrText>
      </w:r>
      <w:r>
        <w:fldChar w:fldCharType="begin"/>
      </w:r>
      <w:r>
        <w:instrText xml:space="preserve"> SEQ AMEqn \h \* MERGEFORMAT </w:instrText>
      </w:r>
      <w:r>
        <w:fldChar w:fldCharType="end"/>
      </w:r>
      <w:r>
        <w:instrText>(</w:instrText>
      </w:r>
      <w:fldSimple w:instr=" SEQ AMEqn \c \* Arabic \* MERGEFORMAT ">
        <w:r>
          <w:rPr>
            <w:noProof/>
          </w:rPr>
          <w:instrText>5</w:instrText>
        </w:r>
      </w:fldSimple>
      <w:r>
        <w:instrText>)</w:instrText>
      </w:r>
      <w:r>
        <w:fldChar w:fldCharType="end"/>
      </w:r>
    </w:p>
    <w:p w14:paraId="40120A2B" w14:textId="402AD0F9" w:rsidR="009623D5" w:rsidRDefault="004E1FCC" w:rsidP="0064476E">
      <w:pPr>
        <w:snapToGrid w:val="0"/>
        <w:spacing w:line="240" w:lineRule="exact"/>
        <w:ind w:firstLine="0"/>
      </w:pPr>
      <w:r>
        <w:t>For</w:t>
      </w:r>
      <w:r w:rsidR="001738DA">
        <w:t xml:space="preserve"> </w:t>
      </w:r>
      <w:r w:rsidRPr="004E1FCC">
        <w:rPr>
          <w:position w:val="-9"/>
        </w:rPr>
        <w:object w:dxaOrig="607" w:dyaOrig="269" w14:anchorId="43438C20">
          <v:shape id="_x0000_i1064" type="#_x0000_t75" style="width:30.05pt;height:13.15pt" o:ole="">
            <v:imagedata r:id="rId72" o:title=""/>
          </v:shape>
          <o:OLEObject Type="Embed" ProgID="Equation.AxMath" ShapeID="_x0000_i1064" DrawAspect="Content" ObjectID="_1808679706" r:id="rId87"/>
        </w:object>
      </w:r>
      <w:r>
        <w:t xml:space="preserve">, the value </w:t>
      </w:r>
      <w:r w:rsidRPr="004E1FCC">
        <w:rPr>
          <w:position w:val="-9"/>
        </w:rPr>
        <w:object w:dxaOrig="160" w:dyaOrig="269" w14:anchorId="116379AD">
          <v:shape id="_x0000_i1065" type="#_x0000_t75" style="width:8.15pt;height:13.15pt" o:ole="">
            <v:imagedata r:id="rId88" o:title=""/>
          </v:shape>
          <o:OLEObject Type="Embed" ProgID="Equation.AxMath" ShapeID="_x0000_i1065" DrawAspect="Content" ObjectID="_1808679707" r:id="rId89"/>
        </w:object>
      </w:r>
      <w:r>
        <w:t xml:space="preserve"> equals 0.326, which is indicated on Fig. 7b. The simulated position of the intersection points agrees reasonably well with theory. Differences are expected given the volumetric representation of the simulated yield zone in comparison with yield line theory.</w:t>
      </w:r>
    </w:p>
    <w:p w14:paraId="07D33BC6" w14:textId="60147CAD" w:rsidR="0064476E" w:rsidRDefault="0064476E">
      <w:pPr>
        <w:jc w:val="center"/>
      </w:pPr>
      <w:r>
        <w:rPr>
          <w:noProof/>
          <w:lang w:eastAsia="ja-JP"/>
        </w:rPr>
        <w:drawing>
          <wp:inline distT="0" distB="0" distL="0" distR="0" wp14:anchorId="0CFFDFE1" wp14:editId="3840D279">
            <wp:extent cx="3172510" cy="292166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x5.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198219" cy="2945340"/>
                    </a:xfrm>
                    <a:prstGeom prst="rect">
                      <a:avLst/>
                    </a:prstGeom>
                  </pic:spPr>
                </pic:pic>
              </a:graphicData>
            </a:graphic>
          </wp:inline>
        </w:drawing>
      </w:r>
    </w:p>
    <w:p w14:paraId="0F1CE286" w14:textId="77777777" w:rsidR="009623D5" w:rsidRDefault="004E1FCC">
      <w:pPr>
        <w:jc w:val="center"/>
        <w:rPr>
          <w:sz w:val="18"/>
          <w:szCs w:val="18"/>
        </w:rPr>
      </w:pPr>
      <w:r>
        <w:rPr>
          <w:b/>
          <w:sz w:val="18"/>
          <w:szCs w:val="18"/>
        </w:rPr>
        <w:t>Fig. 9.</w:t>
      </w:r>
      <w:r>
        <w:rPr>
          <w:sz w:val="18"/>
          <w:szCs w:val="18"/>
        </w:rPr>
        <w:t xml:space="preserve"> a) Refined grid; and b) associated yield event pattern</w:t>
      </w:r>
    </w:p>
    <w:p w14:paraId="23BCB87D" w14:textId="5C345662" w:rsidR="009623D5" w:rsidRDefault="009623D5" w:rsidP="0064476E">
      <w:pPr>
        <w:ind w:firstLine="0"/>
        <w:rPr>
          <w:sz w:val="18"/>
          <w:szCs w:val="18"/>
        </w:rPr>
      </w:pPr>
    </w:p>
    <w:p w14:paraId="459FC9E2" w14:textId="00B1F7CF" w:rsidR="0064476E" w:rsidRDefault="0064476E">
      <w:pPr>
        <w:jc w:val="center"/>
        <w:rPr>
          <w:sz w:val="18"/>
          <w:szCs w:val="18"/>
        </w:rPr>
      </w:pPr>
      <w:r>
        <w:rPr>
          <w:noProof/>
          <w:sz w:val="18"/>
          <w:szCs w:val="18"/>
          <w:lang w:eastAsia="ja-JP"/>
        </w:rPr>
        <w:drawing>
          <wp:inline distT="0" distB="0" distL="0" distR="0" wp14:anchorId="467C6943" wp14:editId="2C5BE386">
            <wp:extent cx="2372222" cy="1588682"/>
            <wp:effectExtent l="0" t="0" r="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xRkLDnorway5.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02768" cy="1609139"/>
                    </a:xfrm>
                    <a:prstGeom prst="rect">
                      <a:avLst/>
                    </a:prstGeom>
                  </pic:spPr>
                </pic:pic>
              </a:graphicData>
            </a:graphic>
          </wp:inline>
        </w:drawing>
      </w:r>
    </w:p>
    <w:p w14:paraId="19FE514E" w14:textId="77777777" w:rsidR="009623D5" w:rsidRDefault="004E1FCC">
      <w:pPr>
        <w:jc w:val="center"/>
        <w:rPr>
          <w:sz w:val="18"/>
          <w:szCs w:val="18"/>
        </w:rPr>
      </w:pPr>
      <w:r>
        <w:rPr>
          <w:b/>
          <w:sz w:val="18"/>
          <w:szCs w:val="18"/>
        </w:rPr>
        <w:t>Fig. 10.</w:t>
      </w:r>
      <w:r>
        <w:rPr>
          <w:sz w:val="18"/>
          <w:szCs w:val="18"/>
        </w:rPr>
        <w:t xml:space="preserve"> Load versus midspan displacement up to plastic collapse</w:t>
      </w:r>
    </w:p>
    <w:p w14:paraId="4C81D229" w14:textId="77777777" w:rsidR="009623D5" w:rsidRDefault="009623D5">
      <w:pPr>
        <w:jc w:val="center"/>
        <w:rPr>
          <w:sz w:val="18"/>
          <w:szCs w:val="18"/>
        </w:rPr>
      </w:pPr>
    </w:p>
    <w:p w14:paraId="2B684AE8" w14:textId="77777777" w:rsidR="000017A2" w:rsidRDefault="004E1FCC" w:rsidP="008A4D7B">
      <w:r>
        <w:t>Figure 10 presents lateral load versus deflection behaviors produced using the uniform and refined grid structures. The pressure value associated with the plastic collapse mechanism is</w:t>
      </w:r>
      <w:r>
        <w:rPr>
          <w:rFonts w:eastAsia="宋体" w:hint="eastAsia"/>
          <w:lang w:eastAsia="zh-CN"/>
        </w:rPr>
        <w:t xml:space="preserve"> </w:t>
      </w:r>
      <w:r>
        <w:fldChar w:fldCharType="begin"/>
      </w:r>
      <w:r>
        <w:instrText xml:space="preserve"> REF _Ref831036043 \w \h </w:instrText>
      </w:r>
      <w:r>
        <w:fldChar w:fldCharType="separate"/>
      </w:r>
      <w:r w:rsidR="008A4D7B">
        <w:t>[12]</w:t>
      </w:r>
      <w:r>
        <w:fldChar w:fldCharType="end"/>
      </w:r>
    </w:p>
    <w:p w14:paraId="5B0E8238" w14:textId="77777777" w:rsidR="008A4D7B" w:rsidRPr="008A4D7B" w:rsidRDefault="008A4D7B" w:rsidP="008A4D7B">
      <w:pPr>
        <w:pStyle w:val="AMDisplayEquation"/>
      </w:pPr>
      <w:r>
        <w:lastRenderedPageBreak/>
        <w:tab/>
      </w:r>
      <w:r w:rsidR="004E1FCC" w:rsidRPr="004E1FCC">
        <w:rPr>
          <w:position w:val="-20"/>
        </w:rPr>
        <w:object w:dxaOrig="2627" w:dyaOrig="512" w14:anchorId="55E505E7">
          <v:shape id="_x0000_i1066" type="#_x0000_t75" style="width:131.5pt;height:25.65pt" o:ole="">
            <v:imagedata r:id="rId92" o:title=""/>
          </v:shape>
          <o:OLEObject Type="Embed" ProgID="Equation.AxMath" ShapeID="_x0000_i1066" DrawAspect="Content" ObjectID="_1808679708" r:id="rId93"/>
        </w:object>
      </w:r>
      <w:r>
        <w:tab/>
      </w:r>
      <w:r>
        <w:fldChar w:fldCharType="begin"/>
      </w:r>
      <w:r>
        <w:instrText xml:space="preserve"> MACROBUTTON AMMPlaceRM \* MERGEFORMAT </w:instrText>
      </w:r>
      <w:r>
        <w:fldChar w:fldCharType="begin"/>
      </w:r>
      <w:r>
        <w:instrText xml:space="preserve"> SEQ AMEqn \h \* MERGEFORMAT </w:instrText>
      </w:r>
      <w:r>
        <w:fldChar w:fldCharType="end"/>
      </w:r>
      <w:r>
        <w:instrText>(</w:instrText>
      </w:r>
      <w:fldSimple w:instr=" SEQ AMEqn \c \* Arabic \* MERGEFORMAT ">
        <w:r>
          <w:rPr>
            <w:noProof/>
          </w:rPr>
          <w:instrText>6</w:instrText>
        </w:r>
      </w:fldSimple>
      <w:r>
        <w:instrText>)</w:instrText>
      </w:r>
      <w:r>
        <w:fldChar w:fldCharType="end"/>
      </w:r>
    </w:p>
    <w:p w14:paraId="56A67350" w14:textId="77777777" w:rsidR="009623D5" w:rsidRDefault="004E1FCC" w:rsidP="003D3775">
      <w:pPr>
        <w:snapToGrid w:val="0"/>
        <w:spacing w:line="240" w:lineRule="exact"/>
        <w:ind w:firstLine="0"/>
      </w:pPr>
      <w:r>
        <w:t xml:space="preserve">where </w:t>
      </w:r>
      <w:r w:rsidRPr="004E1FCC">
        <w:rPr>
          <w:position w:val="-9"/>
        </w:rPr>
        <w:object w:dxaOrig="260" w:dyaOrig="269" w14:anchorId="4E204CCD">
          <v:shape id="_x0000_i1067" type="#_x0000_t75" style="width:13.15pt;height:13.15pt" o:ole="">
            <v:imagedata r:id="rId94" o:title=""/>
          </v:shape>
          <o:OLEObject Type="Embed" ProgID="Equation.AxMath" ShapeID="_x0000_i1067" DrawAspect="Content" ObjectID="_1808679709" r:id="rId95"/>
        </w:object>
      </w:r>
      <w:r>
        <w:t xml:space="preserve"> is the plastic moment of the section per unit length in the </w:t>
      </w:r>
      <w:r w:rsidRPr="004E1FCC">
        <w:rPr>
          <w:position w:val="-9"/>
        </w:rPr>
        <w:object w:dxaOrig="454" w:dyaOrig="269" w14:anchorId="482F452A">
          <v:shape id="_x0000_i1068" type="#_x0000_t75" style="width:23.15pt;height:13.15pt" o:ole="">
            <v:imagedata r:id="rId96" o:title=""/>
          </v:shape>
          <o:OLEObject Type="Embed" ProgID="Equation.AxMath" ShapeID="_x0000_i1068" DrawAspect="Content" ObjectID="_1808679710" r:id="rId97"/>
        </w:object>
      </w:r>
      <w:r>
        <w:t xml:space="preserve"> plane. For the uniform coarser discretization, the collapse load exceeds the theoretical load by about</w:t>
      </w:r>
      <w:r w:rsidR="000017A2">
        <w:t xml:space="preserve"> 5</w:t>
      </w:r>
      <w:r>
        <w:t xml:space="preserve">%. Similar to the previous example, the accuracy of the solution improves with grid refinement. </w:t>
      </w:r>
    </w:p>
    <w:p w14:paraId="4AA29D27" w14:textId="77777777" w:rsidR="009623D5" w:rsidRDefault="004E1FCC">
      <w:pPr>
        <w:pStyle w:val="heading1"/>
      </w:pPr>
      <w:r>
        <w:t>Application Domain</w:t>
      </w:r>
    </w:p>
    <w:p w14:paraId="5B73B9E2" w14:textId="77777777" w:rsidR="009623D5" w:rsidRDefault="004E1FCC" w:rsidP="00E67E0E">
      <w:pPr>
        <w:snapToGrid w:val="0"/>
        <w:spacing w:line="240" w:lineRule="exact"/>
      </w:pPr>
      <w:r>
        <w:t xml:space="preserve">The preceding plastic limit analyses demonstrate basic capabilities of the L-VCLM and the potential for adaptive mesh refinement. However, the envisaged application domain is thin-walled elements made of reinforced concrete. As a step in that direction, the elastic deformation of a concrete slab is simulated.  The example has been taken from an experimental program in which out-of-plane loading was applied to a slab structure supported by </w:t>
      </w:r>
      <w:proofErr w:type="spellStart"/>
      <w:r>
        <w:t>a</w:t>
      </w:r>
      <w:proofErr w:type="spellEnd"/>
      <w:r>
        <w:t xml:space="preserve"> </w:t>
      </w:r>
      <w:r w:rsidRPr="004E1FCC">
        <w:rPr>
          <w:position w:val="-9"/>
        </w:rPr>
        <w:object w:dxaOrig="423" w:dyaOrig="269" w14:anchorId="587D3D4A">
          <v:shape id="_x0000_i1069" type="#_x0000_t75" style="width:21.3pt;height:13.15pt" o:ole="">
            <v:imagedata r:id="rId98" o:title=""/>
          </v:shape>
          <o:OLEObject Type="Embed" ProgID="Equation.AxMath" ShapeID="_x0000_i1069" DrawAspect="Content" ObjectID="_1808679711" r:id="rId99"/>
        </w:object>
      </w:r>
      <w:r w:rsidR="003A6EF0">
        <w:t xml:space="preserve"> </w:t>
      </w:r>
      <w:r>
        <w:t>array of columns, after removing the central column</w:t>
      </w:r>
      <w:r>
        <w:rPr>
          <w:rFonts w:eastAsia="宋体" w:hint="eastAsia"/>
          <w:lang w:eastAsia="zh-CN"/>
        </w:rPr>
        <w:t xml:space="preserve"> </w:t>
      </w:r>
      <w:r>
        <w:fldChar w:fldCharType="begin"/>
      </w:r>
      <w:r>
        <w:instrText xml:space="preserve"> REF _Ref832716743 \w \h </w:instrText>
      </w:r>
      <w:r>
        <w:fldChar w:fldCharType="separate"/>
      </w:r>
      <w:r w:rsidR="008A4D7B">
        <w:t>[16]</w:t>
      </w:r>
      <w:r>
        <w:fldChar w:fldCharType="end"/>
      </w:r>
      <w:r>
        <w:t>. Out-of-plane loading was applied using an actuator and a series of distribution elements. For the simulated</w:t>
      </w:r>
      <w:r w:rsidR="003D3775">
        <w:t xml:space="preserve"> deformation pattern, shown in </w:t>
      </w:r>
      <w:r>
        <w:t>Fig. 11a, uniform out-of-plane loading was applied within the column array boundaries.  Although the simulation is limited to elastic deformation, it is notable in that all reinforcing bars are explicitly represented within the model. The L-VCLM allows for the discrete representation of short-fiber or bar reinforcement in a computationally efficient way</w:t>
      </w:r>
      <w:r>
        <w:rPr>
          <w:rFonts w:eastAsia="宋体" w:hint="eastAsia"/>
          <w:lang w:eastAsia="zh-CN"/>
        </w:rPr>
        <w:t xml:space="preserve"> </w:t>
      </w:r>
      <w:r>
        <w:fldChar w:fldCharType="begin"/>
      </w:r>
      <w:r>
        <w:instrText xml:space="preserve"> REF _Ref833036076 \w \h </w:instrText>
      </w:r>
      <w:r>
        <w:fldChar w:fldCharType="separate"/>
      </w:r>
      <w:r w:rsidR="008A4D7B">
        <w:t>[10]</w:t>
      </w:r>
      <w:r>
        <w:fldChar w:fldCharType="end"/>
      </w:r>
      <w:r>
        <w:t xml:space="preserve">. Figure 11b presents axial stress variation in selected reinforcing bars that run along the bottom face of </w:t>
      </w:r>
      <w:r w:rsidR="003D3775">
        <w:t xml:space="preserve">the </w:t>
      </w:r>
      <w:r>
        <w:t>slab structure. As expected, tensile stresses appear in the region of column removal; compressive stresses appear in the negative moment regions, near the column supports.</w:t>
      </w:r>
    </w:p>
    <w:p w14:paraId="01AEEF58" w14:textId="77777777" w:rsidR="009623D5" w:rsidRDefault="004E1FCC">
      <w:pPr>
        <w:jc w:val="center"/>
      </w:pPr>
      <w:r>
        <w:rPr>
          <w:noProof/>
          <w:lang w:eastAsia="ja-JP"/>
        </w:rPr>
        <w:drawing>
          <wp:inline distT="0" distB="0" distL="0" distR="0" wp14:anchorId="57A52256" wp14:editId="75233101">
            <wp:extent cx="2734310" cy="247078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740690" cy="2476446"/>
                    </a:xfrm>
                    <a:prstGeom prst="rect">
                      <a:avLst/>
                    </a:prstGeom>
                  </pic:spPr>
                </pic:pic>
              </a:graphicData>
            </a:graphic>
          </wp:inline>
        </w:drawing>
      </w:r>
    </w:p>
    <w:p w14:paraId="2F20A716" w14:textId="7D2D55D3" w:rsidR="009623D5" w:rsidRDefault="004E1FCC">
      <w:pPr>
        <w:ind w:firstLine="0"/>
        <w:jc w:val="left"/>
        <w:rPr>
          <w:sz w:val="18"/>
          <w:szCs w:val="18"/>
        </w:rPr>
      </w:pPr>
      <w:r>
        <w:rPr>
          <w:b/>
          <w:sz w:val="18"/>
          <w:szCs w:val="18"/>
        </w:rPr>
        <w:t>Fig. 11.</w:t>
      </w:r>
      <w:r>
        <w:rPr>
          <w:sz w:val="18"/>
          <w:szCs w:val="18"/>
        </w:rPr>
        <w:t xml:space="preserve"> a) Elastic deformation of a RC slab due to column removal; and b) axial stress variation in </w:t>
      </w:r>
      <w:r w:rsidR="00680F62">
        <w:rPr>
          <w:sz w:val="18"/>
          <w:szCs w:val="18"/>
        </w:rPr>
        <w:t>selected</w:t>
      </w:r>
      <w:r>
        <w:rPr>
          <w:sz w:val="18"/>
          <w:szCs w:val="18"/>
        </w:rPr>
        <w:t xml:space="preserve"> reinforcing bars</w:t>
      </w:r>
      <w:r w:rsidR="00536236">
        <w:rPr>
          <w:sz w:val="18"/>
          <w:szCs w:val="18"/>
        </w:rPr>
        <w:t xml:space="preserve"> within the L-VCLM</w:t>
      </w:r>
      <w:r>
        <w:rPr>
          <w:sz w:val="18"/>
          <w:szCs w:val="18"/>
        </w:rPr>
        <w:t>.</w:t>
      </w:r>
    </w:p>
    <w:p w14:paraId="12B6BF9A" w14:textId="77777777" w:rsidR="009623D5" w:rsidRDefault="004E1FCC">
      <w:pPr>
        <w:pStyle w:val="heading1"/>
      </w:pPr>
      <w:r>
        <w:lastRenderedPageBreak/>
        <w:t>Conclusions</w:t>
      </w:r>
    </w:p>
    <w:p w14:paraId="07E141CD" w14:textId="77777777" w:rsidR="009623D5" w:rsidRDefault="004E1FCC">
      <w:r>
        <w:t>This research aims to produce computationally efficient models of planar or thin-walled structural elements that are subject to out-of-plane loading. The following remarks and conclusions can be made.</w:t>
      </w:r>
    </w:p>
    <w:p w14:paraId="67A61A8E" w14:textId="77777777" w:rsidR="009623D5" w:rsidRDefault="004E1FCC">
      <w:pPr>
        <w:pStyle w:val="ListParagraph"/>
        <w:numPr>
          <w:ilvl w:val="0"/>
          <w:numId w:val="10"/>
        </w:numPr>
      </w:pPr>
      <w:r>
        <w:t>For thin-walled structures, the concomitant goals of tracking material nonlinearity in-plane and through the wall thickness direction can be accomplished via a layered Voronoi-cell lattice model (L-VCLM). The 3D structure is reduced to a planar model by introducing the plane section constraint through the wall thickness, rendering the L-VCLM vastly superior in terms of computational efficiency.</w:t>
      </w:r>
    </w:p>
    <w:p w14:paraId="6A55A58E" w14:textId="77777777" w:rsidR="009623D5" w:rsidRDefault="004E1FCC">
      <w:pPr>
        <w:pStyle w:val="ListParagraph"/>
        <w:numPr>
          <w:ilvl w:val="0"/>
          <w:numId w:val="10"/>
        </w:numPr>
      </w:pPr>
      <w:r>
        <w:t>As an intermediate step between elastic stress and fracture analyses, plastic limit analyses are an effective means for elucidating model behavior. Both elastic and plastic limit analyses indicate grid size sensitivity for cases of flexural loading. The degrees of freedom associated with the Voronoi cells and the spring components are not compatible with ordinary beam theory. In particular, the spring components in the out-of-plane direction are activated during flexural loading.</w:t>
      </w:r>
    </w:p>
    <w:p w14:paraId="72BD2EF8" w14:textId="77777777" w:rsidR="009623D5" w:rsidRDefault="004E1FCC" w:rsidP="00E67E0E">
      <w:pPr>
        <w:pStyle w:val="ListParagraph"/>
        <w:numPr>
          <w:ilvl w:val="0"/>
          <w:numId w:val="10"/>
        </w:numPr>
        <w:snapToGrid w:val="0"/>
        <w:spacing w:line="240" w:lineRule="exact"/>
        <w:ind w:hanging="357"/>
      </w:pPr>
      <w:r>
        <w:t xml:space="preserve">As the element aspect ratio, </w:t>
      </w:r>
      <w:r w:rsidRPr="004E1FCC">
        <w:rPr>
          <w:position w:val="-9"/>
        </w:rPr>
        <w:object w:dxaOrig="586" w:dyaOrig="269" w14:anchorId="621BE58D">
          <v:shape id="_x0000_i1070" type="#_x0000_t75" style="width:29.45pt;height:13.15pt" o:ole="">
            <v:imagedata r:id="rId101" o:title=""/>
          </v:shape>
          <o:OLEObject Type="Embed" ProgID="Equation.AxMath" ShapeID="_x0000_i1070" DrawAspect="Content" ObjectID="_1808679712" r:id="rId102"/>
        </w:object>
      </w:r>
      <w:r>
        <w:t>, is reduced, the individual elements representing each layer approach conditions of membrane action, for which the lattice is elastically uniform. This desirable behavior is observed within the plastic analyses, as well.</w:t>
      </w:r>
    </w:p>
    <w:p w14:paraId="5EBFDFFF" w14:textId="77777777" w:rsidR="009623D5" w:rsidRDefault="004E1FCC" w:rsidP="0064476E">
      <w:pPr>
        <w:pStyle w:val="ListParagraph"/>
        <w:numPr>
          <w:ilvl w:val="0"/>
          <w:numId w:val="10"/>
        </w:numPr>
        <w:snapToGrid w:val="0"/>
        <w:spacing w:after="120" w:line="240" w:lineRule="exact"/>
        <w:ind w:hanging="357"/>
      </w:pPr>
      <w:r>
        <w:t xml:space="preserve">The aforementioned improvements with grid refinement suggest opportunities for adaptive refinement, which is a main component of this research. Herein, a suite of </w:t>
      </w:r>
      <w:r w:rsidRPr="004E1FCC">
        <w:rPr>
          <w:position w:val="-9"/>
        </w:rPr>
        <w:object w:dxaOrig="202" w:dyaOrig="269" w14:anchorId="63424B88">
          <v:shape id="_x0000_i1071" type="#_x0000_t75" style="width:10pt;height:13.15pt" o:ole="">
            <v:imagedata r:id="rId34" o:title=""/>
          </v:shape>
          <o:OLEObject Type="Embed" ProgID="Equation.AxMath" ShapeID="_x0000_i1071" DrawAspect="Content" ObjectID="_1808679713" r:id="rId103"/>
        </w:object>
      </w:r>
      <w:r w:rsidR="003A6EF0">
        <w:t xml:space="preserve"> </w:t>
      </w:r>
      <w:r>
        <w:t>models are subjected to out-of-plane loading, approaching the plastic limit state. Spatial maps of the yield events are recorded for each model. Cluster analyses, a form of unsupervised learning, are used to identify potential yield lines from a composite map of the yield events. The grid is refined local to the identified yield line segments. It is found that the ensuing analysis, based on the refined grid, is significantly more accurate in terms of localized behavior and the plastic limit load.</w:t>
      </w:r>
    </w:p>
    <w:p w14:paraId="020115E1" w14:textId="77777777" w:rsidR="009623D5" w:rsidRDefault="004E1FCC">
      <w:pPr>
        <w:rPr>
          <w:rStyle w:val="heading40"/>
          <w:i w:val="0"/>
        </w:rPr>
      </w:pPr>
      <w:r>
        <w:t xml:space="preserve">With respect to structural concrete, this form of adaptive analysis is complicated by several factors. Material behavior is anisotropic, including softening in tension. Reinforcing elements, such as bars or fibers, are also typically present. Nonetheless, these factors have been incorporated into the L-VCLM framework, albeit without adaptive refinement of the grid. It is anticipated that the </w:t>
      </w:r>
      <w:r w:rsidR="003D3775">
        <w:t>ML-assisted</w:t>
      </w:r>
      <w:r>
        <w:t xml:space="preserve"> scheme for adaptive refinement will be effective, using fracture events in place of the yield events of plastic limit analyses.</w:t>
      </w:r>
    </w:p>
    <w:p w14:paraId="7EB0FCDA" w14:textId="77777777" w:rsidR="009623D5" w:rsidRDefault="004E1FCC">
      <w:pPr>
        <w:pStyle w:val="heading1"/>
        <w:numPr>
          <w:ilvl w:val="0"/>
          <w:numId w:val="0"/>
        </w:numPr>
      </w:pPr>
      <w:r>
        <w:t>References</w:t>
      </w:r>
    </w:p>
    <w:p w14:paraId="66E1262A" w14:textId="5EE2CB1C" w:rsidR="009623D5" w:rsidRDefault="004E1FCC">
      <w:pPr>
        <w:pStyle w:val="referenceitem"/>
      </w:pPr>
      <w:bookmarkStart w:id="1" w:name="_Ref826834293"/>
      <w:r>
        <w:t xml:space="preserve">Asahina D, Aoyagi K, Kim K, Birkholzer JT, Bolander JE (2017) Elastically-homogeneous lattice models of damage in geomaterials. Computers and Geotechnics 81: 195 – 206. </w:t>
      </w:r>
      <w:bookmarkEnd w:id="1"/>
    </w:p>
    <w:p w14:paraId="66820A79" w14:textId="77777777" w:rsidR="009623D5" w:rsidRDefault="004E1FCC">
      <w:pPr>
        <w:pStyle w:val="referenceitem"/>
      </w:pPr>
      <w:bookmarkStart w:id="2" w:name="_Ref829557027"/>
      <w:r>
        <w:lastRenderedPageBreak/>
        <w:t>Bažant Z, Bhat P (1977) Prediction of hysteresis of reinforced concrete members. Journal of the Structural Division, ASCE 103(1): 153–167.</w:t>
      </w:r>
      <w:bookmarkEnd w:id="2"/>
    </w:p>
    <w:p w14:paraId="25D8AF68" w14:textId="77777777" w:rsidR="009623D5" w:rsidRDefault="004E1FCC">
      <w:pPr>
        <w:pStyle w:val="referenceitem"/>
      </w:pPr>
      <w:bookmarkStart w:id="3" w:name="_Ref825758645"/>
      <w:r>
        <w:t>Bolander JE, Elíǎs J, Cusatis G, Nagai K (2021) Discrete mechanical mod- els of concrete fracture. Engineering Fracture Mechanics 257: 108030.</w:t>
      </w:r>
      <w:bookmarkEnd w:id="3"/>
    </w:p>
    <w:p w14:paraId="04CDEE65" w14:textId="77777777" w:rsidR="009623D5" w:rsidRDefault="004E1FCC">
      <w:pPr>
        <w:pStyle w:val="referenceitem"/>
      </w:pPr>
      <w:bookmarkStart w:id="4" w:name="_Ref824430892"/>
      <w:r>
        <w:t>Chang Z, Xu Y, Chen Y, Gan Y, Schlangen E, Šavija B (2021) A discrete lattice model for assessment of buildability performance of 3D-printed con- crete. Computer-Aided Civil and Infrastructure Engineering 36(5): 638– 655.</w:t>
      </w:r>
      <w:bookmarkEnd w:id="4"/>
    </w:p>
    <w:p w14:paraId="6B3F4259" w14:textId="3D96E563" w:rsidR="009623D5" w:rsidRDefault="004E1FCC">
      <w:pPr>
        <w:pStyle w:val="referenceitem"/>
      </w:pPr>
      <w:bookmarkStart w:id="5" w:name="_Ref826346890"/>
      <w:r>
        <w:t xml:space="preserve">Cusatis G, Pelessone D, Mencarelli A (2011) Lattice Discrete Particle Model (LDPM) for failure behavior of concrete. I: Theory. Cement &amp; Concrete Composites 33(9): 881–890. </w:t>
      </w:r>
      <w:bookmarkEnd w:id="5"/>
    </w:p>
    <w:p w14:paraId="74E1503B" w14:textId="77777777" w:rsidR="009623D5" w:rsidRDefault="004E1FCC">
      <w:pPr>
        <w:pStyle w:val="referenceitem"/>
      </w:pPr>
      <w:bookmarkStart w:id="6" w:name="_Ref197961289"/>
      <w:r>
        <w:t>Du Q, Faber V, Gunzburger M (1999) Centroidal Voronoi tessellations: applications and algorithms. SIAM Review 41(4): 637–676.</w:t>
      </w:r>
      <w:bookmarkEnd w:id="6"/>
    </w:p>
    <w:p w14:paraId="02CFEA0A" w14:textId="77777777" w:rsidR="009623D5" w:rsidRDefault="004E1FCC">
      <w:pPr>
        <w:pStyle w:val="referenceitem"/>
      </w:pPr>
      <w:bookmarkStart w:id="7" w:name="_Ref830044430"/>
      <w:r>
        <w:t>Elíǎs J (2016) Adaptive technique for discrete models of fracture. International Journal of Solids and Structures 100–101: 376–387.</w:t>
      </w:r>
      <w:bookmarkEnd w:id="7"/>
    </w:p>
    <w:p w14:paraId="7D5225D2" w14:textId="77777777" w:rsidR="009623D5" w:rsidRDefault="004E1FCC">
      <w:pPr>
        <w:pStyle w:val="referenceitem"/>
      </w:pPr>
      <w:bookmarkStart w:id="8" w:name="_Ref826397311"/>
      <w:r>
        <w:t>Fascetti A, Ichimaru S, Bolander JE (2022) Stochastic lattice discrete par- ticle modeling of fracture in pervious concrete. Computer-Aided Civil and Infrastructure Engineering 37(14): 1788–1808.</w:t>
      </w:r>
      <w:bookmarkEnd w:id="8"/>
    </w:p>
    <w:p w14:paraId="5381DF3A" w14:textId="60EAD63D" w:rsidR="009623D5" w:rsidRDefault="004E1FCC">
      <w:pPr>
        <w:pStyle w:val="referenceitem"/>
      </w:pPr>
      <w:bookmarkStart w:id="9" w:name="_Ref828061204"/>
      <w:r>
        <w:t xml:space="preserve">Herrmann HJ, Roux S (1990) Statistical Models for the Fracture of Disordered Media. Elsevier, 353 pages. </w:t>
      </w:r>
      <w:bookmarkEnd w:id="9"/>
    </w:p>
    <w:p w14:paraId="385DA13E" w14:textId="77777777" w:rsidR="009623D5" w:rsidRDefault="004E1FCC">
      <w:pPr>
        <w:pStyle w:val="referenceitem"/>
      </w:pPr>
      <w:bookmarkStart w:id="10" w:name="_Ref833036076"/>
      <w:r>
        <w:t>Kang J, Kim K, Lim YM, Bolander JE (2014) Modeling of fiber-reinforced cement composites: Discrete representation of fiber pullout. International Journal of Solids and Structures 51(10): 1970–1979.</w:t>
      </w:r>
      <w:bookmarkEnd w:id="10"/>
    </w:p>
    <w:p w14:paraId="7AFF93F2" w14:textId="2C29C2BF" w:rsidR="009623D5" w:rsidRDefault="004E1FCC">
      <w:pPr>
        <w:pStyle w:val="referenceitem"/>
      </w:pPr>
      <w:bookmarkStart w:id="11" w:name="_Ref828229274"/>
      <w:r>
        <w:t>Kawai T (1978) New discrete models and their application to seismic response analysis of structures.</w:t>
      </w:r>
      <w:r>
        <w:rPr>
          <w:rFonts w:hint="eastAsia"/>
          <w:lang w:eastAsia="zh-CN"/>
        </w:rPr>
        <w:t xml:space="preserve"> </w:t>
      </w:r>
      <w:r>
        <w:t xml:space="preserve">Nuclear Engineering and Design 48(1): 207–229. </w:t>
      </w:r>
      <w:bookmarkEnd w:id="11"/>
    </w:p>
    <w:p w14:paraId="39DBB59B" w14:textId="77777777" w:rsidR="009623D5" w:rsidRDefault="004E1FCC">
      <w:pPr>
        <w:pStyle w:val="referenceitem"/>
      </w:pPr>
      <w:bookmarkStart w:id="12" w:name="_Ref831036043"/>
      <w:r>
        <w:t>Nielsen MP, Hoang LC (2011) Limit Analysis and Concrete Plasticity. CRC Press, 796 pages.</w:t>
      </w:r>
      <w:bookmarkEnd w:id="12"/>
    </w:p>
    <w:p w14:paraId="3CD2DD8A" w14:textId="35650377" w:rsidR="009623D5" w:rsidRDefault="004E1FCC">
      <w:pPr>
        <w:pStyle w:val="referenceitem"/>
      </w:pPr>
      <w:bookmarkStart w:id="13" w:name="_Ref829086431"/>
      <w:r>
        <w:t xml:space="preserve">Pan Y, Prado A, Porras R, Hafez OM, Bolander JE (2017) Lattice modeling of early-age behavior of structural concrete. Materials 10: 231. </w:t>
      </w:r>
      <w:bookmarkEnd w:id="13"/>
    </w:p>
    <w:p w14:paraId="0089D5FF" w14:textId="77777777" w:rsidR="009623D5" w:rsidRDefault="004E1FCC">
      <w:pPr>
        <w:pStyle w:val="referenceitem"/>
      </w:pPr>
      <w:bookmarkStart w:id="14" w:name="_Ref831859586"/>
      <w:r>
        <w:t>Pedregosa F, et al (2011) Scikit-learn: Machine learning in Python. The Journal of Machine Learning Research 12: 2825–2830.</w:t>
      </w:r>
      <w:bookmarkEnd w:id="14"/>
    </w:p>
    <w:p w14:paraId="42E34977" w14:textId="77777777" w:rsidR="009623D5" w:rsidRDefault="004E1FCC">
      <w:pPr>
        <w:pStyle w:val="referenceitem"/>
      </w:pPr>
      <w:bookmarkStart w:id="15" w:name="_Ref829590641"/>
      <w:r>
        <w:t>Spacone E, Filippou F, Taucer F (1996) Fibre beam-column model for non-linear analysis of R/C frames: Part I. formulation. Earthquake Engineering and Structural Dynamics 25: 711–725.</w:t>
      </w:r>
      <w:bookmarkEnd w:id="15"/>
    </w:p>
    <w:p w14:paraId="24862C0E" w14:textId="77777777" w:rsidR="009623D5" w:rsidRDefault="004E1FCC">
      <w:pPr>
        <w:pStyle w:val="referenceitem"/>
      </w:pPr>
      <w:bookmarkStart w:id="16" w:name="_Ref832716743"/>
      <w:r>
        <w:t>Weng YH, Qian K, Fu F, Fang Q (2020) Numerical investigation on load redistribution capacity of flat slab substructures to resist progressive collapse. Journal of Building Engineering 29: 101109.</w:t>
      </w:r>
      <w:bookmarkEnd w:id="16"/>
    </w:p>
    <w:p w14:paraId="4A54E183" w14:textId="77777777" w:rsidR="009623D5" w:rsidRDefault="004E1FCC">
      <w:pPr>
        <w:pStyle w:val="referenceitem"/>
      </w:pPr>
      <w:bookmarkStart w:id="17" w:name="_Ref829321729"/>
      <w:r>
        <w:t>Widom B (1966) Random sequential addition of hard spheres to a volume.</w:t>
      </w:r>
      <w:r>
        <w:rPr>
          <w:rFonts w:hint="eastAsia"/>
          <w:lang w:eastAsia="zh-CN"/>
        </w:rPr>
        <w:t xml:space="preserve"> </w:t>
      </w:r>
      <w:r>
        <w:t>Journal of Chemical Physics 44: 3888–3894.</w:t>
      </w:r>
      <w:bookmarkEnd w:id="17"/>
    </w:p>
    <w:p w14:paraId="355C42EB" w14:textId="77777777" w:rsidR="009623D5" w:rsidRDefault="004E1FCC">
      <w:pPr>
        <w:pStyle w:val="referenceitem"/>
      </w:pPr>
      <w:bookmarkStart w:id="18" w:name="_Ref826901521"/>
      <w:r>
        <w:t>Zhang Q, Elíǎs J, Nagai K, Bolander JE (2024) Discrete modeling of elastic heterogeneous media. Mechanics Research Communications 137: 104277.</w:t>
      </w:r>
      <w:bookmarkEnd w:id="18"/>
    </w:p>
    <w:p w14:paraId="2F801387" w14:textId="77777777" w:rsidR="009623D5" w:rsidRDefault="004E1FCC">
      <w:pPr>
        <w:pStyle w:val="referenceitem"/>
      </w:pPr>
      <w:bookmarkStart w:id="19" w:name="_Ref827540187"/>
      <w:r>
        <w:t>Zhang Q, Fascetti A, Perez Lara MA, Bolander JE (2025) Discrete mechanical modeling of planar structures subjected to out-of-plane loading. International Journal of Solids and Structures 314: 113321.</w:t>
      </w:r>
      <w:bookmarkEnd w:id="19"/>
    </w:p>
    <w:p w14:paraId="5F79F9EF" w14:textId="77777777" w:rsidR="009623D5" w:rsidRDefault="009623D5">
      <w:pPr>
        <w:pStyle w:val="referenceitem"/>
        <w:numPr>
          <w:ilvl w:val="0"/>
          <w:numId w:val="0"/>
        </w:numPr>
        <w:ind w:left="227"/>
      </w:pPr>
    </w:p>
    <w:sectPr w:rsidR="009623D5">
      <w:headerReference w:type="even" r:id="rId104"/>
      <w:headerReference w:type="default" r:id="rId105"/>
      <w:pgSz w:w="11906" w:h="16838"/>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C9EC0B" w14:textId="77777777" w:rsidR="002C0334" w:rsidRDefault="002C0334">
      <w:pPr>
        <w:spacing w:line="240" w:lineRule="auto"/>
      </w:pPr>
      <w:r>
        <w:separator/>
      </w:r>
    </w:p>
  </w:endnote>
  <w:endnote w:type="continuationSeparator" w:id="0">
    <w:p w14:paraId="192E3CA2" w14:textId="77777777" w:rsidR="002C0334" w:rsidRDefault="002C03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ourier">
    <w:panose1 w:val="02000500000000000000"/>
    <w:charset w:val="00"/>
    <w:family w:val="auto"/>
    <w:pitch w:val="variable"/>
    <w:sig w:usb0="00000003" w:usb1="00000000" w:usb2="00000000" w:usb3="00000000" w:csb0="00000001"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C84A3C" w14:textId="77777777" w:rsidR="002C0334" w:rsidRDefault="002C0334">
      <w:pPr>
        <w:spacing w:line="240" w:lineRule="auto"/>
      </w:pPr>
      <w:r>
        <w:separator/>
      </w:r>
    </w:p>
  </w:footnote>
  <w:footnote w:type="continuationSeparator" w:id="0">
    <w:p w14:paraId="34A19E6D" w14:textId="77777777" w:rsidR="002C0334" w:rsidRDefault="002C0334">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A0834" w14:textId="77777777" w:rsidR="004E1FCC" w:rsidRDefault="004E1FCC">
    <w:pPr>
      <w:pStyle w:val="Header"/>
    </w:pPr>
    <w:r>
      <w:fldChar w:fldCharType="begin"/>
    </w:r>
    <w:r>
      <w:instrText>PAGE   \* MERGEFORMAT</w:instrText>
    </w:r>
    <w:r>
      <w:fldChar w:fldCharType="separate"/>
    </w:r>
    <w:r w:rsidR="004A4EB0">
      <w:rPr>
        <w:noProof/>
      </w:rPr>
      <w:t>6</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44E0C" w14:textId="77777777" w:rsidR="004E1FCC" w:rsidRDefault="004E1FCC">
    <w:pPr>
      <w:pStyle w:val="Header"/>
      <w:jc w:val="right"/>
    </w:pPr>
    <w:r>
      <w:fldChar w:fldCharType="begin"/>
    </w:r>
    <w:r>
      <w:instrText>PAGE   \* MERGEFORMAT</w:instrText>
    </w:r>
    <w:r>
      <w:fldChar w:fldCharType="separate"/>
    </w:r>
    <w:r w:rsidR="004A4EB0">
      <w:rPr>
        <w:noProof/>
      </w:rPr>
      <w:t>7</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2F5749"/>
    <w:multiLevelType w:val="multilevel"/>
    <w:tmpl w:val="192F5749"/>
    <w:lvl w:ilvl="0">
      <w:start w:val="1"/>
      <w:numFmt w:val="bullet"/>
      <w:lvlText w:val=""/>
      <w:lvlJc w:val="left"/>
      <w:pPr>
        <w:ind w:left="947" w:hanging="360"/>
      </w:pPr>
      <w:rPr>
        <w:rFonts w:ascii="Symbol" w:hAnsi="Symbol"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
    <w:nsid w:val="1CD96225"/>
    <w:multiLevelType w:val="multilevel"/>
    <w:tmpl w:val="1CD962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F397F84"/>
    <w:multiLevelType w:val="multilevel"/>
    <w:tmpl w:val="1F397F84"/>
    <w:lvl w:ilvl="0">
      <w:start w:val="1"/>
      <w:numFmt w:val="bullet"/>
      <w:pStyle w:val="bulletitem"/>
      <w:lvlText w:val=""/>
      <w:lvlJc w:val="left"/>
      <w:pPr>
        <w:tabs>
          <w:tab w:val="left" w:pos="227"/>
        </w:tabs>
        <w:ind w:left="227" w:hanging="227"/>
      </w:pPr>
      <w:rPr>
        <w:rFonts w:ascii="Symbol" w:hAnsi="Symbol" w:hint="default"/>
      </w:rPr>
    </w:lvl>
    <w:lvl w:ilvl="1">
      <w:start w:val="1"/>
      <w:numFmt w:val="bullet"/>
      <w:lvlText w:val="─"/>
      <w:lvlJc w:val="left"/>
      <w:pPr>
        <w:tabs>
          <w:tab w:val="left" w:pos="454"/>
        </w:tabs>
        <w:ind w:left="454" w:hanging="227"/>
      </w:pPr>
      <w:rPr>
        <w:rFonts w:ascii="Times New Roman" w:hAnsi="Times New Roman" w:cs="Times New Roman" w:hint="default"/>
      </w:rPr>
    </w:lvl>
    <w:lvl w:ilvl="2">
      <w:start w:val="1"/>
      <w:numFmt w:val="bullet"/>
      <w:lvlText w:val="o"/>
      <w:lvlJc w:val="left"/>
      <w:pPr>
        <w:tabs>
          <w:tab w:val="left" w:pos="680"/>
        </w:tabs>
        <w:ind w:left="680" w:hanging="226"/>
      </w:pPr>
      <w:rPr>
        <w:rFonts w:ascii="Courier New" w:hAnsi="Courier New" w:hint="default"/>
      </w:rPr>
    </w:lvl>
    <w:lvl w:ilvl="3">
      <w:start w:val="1"/>
      <w:numFmt w:val="bullet"/>
      <w:lvlText w:val=""/>
      <w:lvlJc w:val="left"/>
      <w:pPr>
        <w:tabs>
          <w:tab w:val="left" w:pos="907"/>
        </w:tabs>
        <w:ind w:left="907" w:hanging="227"/>
      </w:pPr>
      <w:rPr>
        <w:rFonts w:ascii="Wingdings" w:hAnsi="Wingdings" w:hint="default"/>
      </w:rPr>
    </w:lvl>
    <w:lvl w:ilvl="4">
      <w:start w:val="1"/>
      <w:numFmt w:val="bullet"/>
      <w:lvlText w:val="o"/>
      <w:lvlJc w:val="left"/>
      <w:pPr>
        <w:tabs>
          <w:tab w:val="left" w:pos="1134"/>
        </w:tabs>
        <w:ind w:left="1134" w:hanging="227"/>
      </w:pPr>
      <w:rPr>
        <w:rFonts w:ascii="Courier New" w:hAnsi="Courier New" w:hint="default"/>
      </w:rPr>
    </w:lvl>
    <w:lvl w:ilvl="5">
      <w:start w:val="1"/>
      <w:numFmt w:val="bullet"/>
      <w:lvlText w:val=""/>
      <w:lvlJc w:val="left"/>
      <w:pPr>
        <w:tabs>
          <w:tab w:val="left" w:pos="1361"/>
        </w:tabs>
        <w:ind w:left="1361" w:hanging="227"/>
      </w:pPr>
      <w:rPr>
        <w:rFonts w:ascii="Wingdings" w:hAnsi="Wingdings" w:hint="default"/>
      </w:rPr>
    </w:lvl>
    <w:lvl w:ilvl="6">
      <w:start w:val="1"/>
      <w:numFmt w:val="bullet"/>
      <w:lvlText w:val=""/>
      <w:lvlJc w:val="left"/>
      <w:pPr>
        <w:tabs>
          <w:tab w:val="left" w:pos="1588"/>
        </w:tabs>
        <w:ind w:left="1588" w:hanging="227"/>
      </w:pPr>
      <w:rPr>
        <w:rFonts w:ascii="Symbol" w:hAnsi="Symbol" w:hint="default"/>
      </w:rPr>
    </w:lvl>
    <w:lvl w:ilvl="7">
      <w:start w:val="1"/>
      <w:numFmt w:val="bullet"/>
      <w:lvlText w:val="o"/>
      <w:lvlJc w:val="left"/>
      <w:pPr>
        <w:tabs>
          <w:tab w:val="left" w:pos="1814"/>
        </w:tabs>
        <w:ind w:left="1814" w:hanging="226"/>
      </w:pPr>
      <w:rPr>
        <w:rFonts w:ascii="Courier New" w:hAnsi="Courier New" w:hint="default"/>
      </w:rPr>
    </w:lvl>
    <w:lvl w:ilvl="8">
      <w:start w:val="1"/>
      <w:numFmt w:val="bullet"/>
      <w:lvlText w:val=""/>
      <w:lvlJc w:val="left"/>
      <w:pPr>
        <w:tabs>
          <w:tab w:val="left" w:pos="2041"/>
        </w:tabs>
        <w:ind w:left="2041" w:hanging="227"/>
      </w:pPr>
      <w:rPr>
        <w:rFonts w:ascii="Wingdings" w:hAnsi="Wingdings" w:hint="default"/>
      </w:rPr>
    </w:lvl>
  </w:abstractNum>
  <w:abstractNum w:abstractNumId="3">
    <w:nsid w:val="3E910679"/>
    <w:multiLevelType w:val="multilevel"/>
    <w:tmpl w:val="3E910679"/>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nsid w:val="52F11BF3"/>
    <w:multiLevelType w:val="multilevel"/>
    <w:tmpl w:val="52F11B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6F404C9F"/>
    <w:multiLevelType w:val="multilevel"/>
    <w:tmpl w:val="6F404C9F"/>
    <w:lvl w:ilvl="0">
      <w:start w:val="1"/>
      <w:numFmt w:val="bullet"/>
      <w:pStyle w:val="dashitem"/>
      <w:lvlText w:val="─"/>
      <w:lvlJc w:val="left"/>
      <w:pPr>
        <w:tabs>
          <w:tab w:val="left" w:pos="227"/>
        </w:tabs>
        <w:ind w:left="227" w:hanging="227"/>
      </w:pPr>
      <w:rPr>
        <w:rFonts w:ascii="Times New Roman" w:hAnsi="Times New Roman" w:cs="Times New Roman" w:hint="default"/>
      </w:rPr>
    </w:lvl>
    <w:lvl w:ilvl="1">
      <w:start w:val="1"/>
      <w:numFmt w:val="bullet"/>
      <w:lvlText w:val=""/>
      <w:lvlJc w:val="left"/>
      <w:pPr>
        <w:tabs>
          <w:tab w:val="left" w:pos="454"/>
        </w:tabs>
        <w:ind w:left="454" w:hanging="227"/>
      </w:pPr>
      <w:rPr>
        <w:rFonts w:ascii="Symbol" w:hAnsi="Symbol" w:hint="default"/>
      </w:rPr>
    </w:lvl>
    <w:lvl w:ilvl="2">
      <w:start w:val="1"/>
      <w:numFmt w:val="bullet"/>
      <w:lvlText w:val="○"/>
      <w:lvlJc w:val="left"/>
      <w:pPr>
        <w:tabs>
          <w:tab w:val="left" w:pos="680"/>
        </w:tabs>
        <w:ind w:left="680" w:hanging="226"/>
      </w:pPr>
      <w:rPr>
        <w:rFonts w:ascii="Times New Roman" w:hAnsi="Times New Roman" w:cs="Times New Roman" w:hint="default"/>
      </w:rPr>
    </w:lvl>
    <w:lvl w:ilvl="3">
      <w:start w:val="1"/>
      <w:numFmt w:val="bullet"/>
      <w:lvlText w:val="■"/>
      <w:lvlJc w:val="left"/>
      <w:pPr>
        <w:tabs>
          <w:tab w:val="left" w:pos="907"/>
        </w:tabs>
        <w:ind w:left="907" w:hanging="227"/>
      </w:pPr>
      <w:rPr>
        <w:rFonts w:ascii="Times New Roman" w:hAnsi="Times New Roman" w:cs="Times New Roman" w:hint="default"/>
      </w:rPr>
    </w:lvl>
    <w:lvl w:ilvl="4">
      <w:start w:val="1"/>
      <w:numFmt w:val="bullet"/>
      <w:lvlText w:val="○"/>
      <w:lvlJc w:val="left"/>
      <w:pPr>
        <w:tabs>
          <w:tab w:val="left" w:pos="1134"/>
        </w:tabs>
        <w:ind w:left="1134" w:hanging="227"/>
      </w:pPr>
      <w:rPr>
        <w:rFonts w:ascii="Times New Roman" w:hAnsi="Times New Roman" w:cs="Times New Roman" w:hint="default"/>
      </w:rPr>
    </w:lvl>
    <w:lvl w:ilvl="5">
      <w:start w:val="1"/>
      <w:numFmt w:val="bullet"/>
      <w:lvlText w:val="■"/>
      <w:lvlJc w:val="left"/>
      <w:pPr>
        <w:tabs>
          <w:tab w:val="left" w:pos="1361"/>
        </w:tabs>
        <w:ind w:left="1361" w:hanging="227"/>
      </w:pPr>
      <w:rPr>
        <w:rFonts w:ascii="Times New Roman" w:hAnsi="Times New Roman" w:cs="Times New Roman" w:hint="default"/>
      </w:rPr>
    </w:lvl>
    <w:lvl w:ilvl="6">
      <w:start w:val="1"/>
      <w:numFmt w:val="bullet"/>
      <w:lvlText w:val=""/>
      <w:lvlJc w:val="left"/>
      <w:pPr>
        <w:tabs>
          <w:tab w:val="left" w:pos="1588"/>
        </w:tabs>
        <w:ind w:left="1588" w:hanging="227"/>
      </w:pPr>
      <w:rPr>
        <w:rFonts w:ascii="Symbol" w:hAnsi="Symbol" w:hint="default"/>
      </w:rPr>
    </w:lvl>
    <w:lvl w:ilvl="7">
      <w:start w:val="1"/>
      <w:numFmt w:val="bullet"/>
      <w:lvlText w:val="○"/>
      <w:lvlJc w:val="left"/>
      <w:pPr>
        <w:tabs>
          <w:tab w:val="left" w:pos="1814"/>
        </w:tabs>
        <w:ind w:left="1814" w:hanging="226"/>
      </w:pPr>
      <w:rPr>
        <w:rFonts w:ascii="Times New Roman" w:hAnsi="Times New Roman" w:cs="Times New Roman" w:hint="default"/>
      </w:rPr>
    </w:lvl>
    <w:lvl w:ilvl="8">
      <w:start w:val="1"/>
      <w:numFmt w:val="bullet"/>
      <w:lvlText w:val="■"/>
      <w:lvlJc w:val="left"/>
      <w:pPr>
        <w:tabs>
          <w:tab w:val="left" w:pos="2041"/>
        </w:tabs>
        <w:ind w:left="2041" w:hanging="227"/>
      </w:pPr>
      <w:rPr>
        <w:rFonts w:ascii="Times New Roman" w:hAnsi="Times New Roman" w:cs="Times New Roman" w:hint="default"/>
      </w:rPr>
    </w:lvl>
  </w:abstractNum>
  <w:abstractNum w:abstractNumId="6">
    <w:nsid w:val="757C5628"/>
    <w:multiLevelType w:val="multilevel"/>
    <w:tmpl w:val="757C5628"/>
    <w:lvl w:ilvl="0">
      <w:start w:val="1"/>
      <w:numFmt w:val="decimal"/>
      <w:pStyle w:val="referenceitem"/>
      <w:lvlText w:val="[%1]"/>
      <w:lvlJc w:val="right"/>
      <w:pPr>
        <w:tabs>
          <w:tab w:val="left" w:pos="341"/>
        </w:tabs>
        <w:ind w:left="341" w:hanging="114"/>
      </w:pPr>
      <w:rPr>
        <w:rFonts w:ascii="Times New Roman" w:hAnsi="Times New Roman" w:cs="Times New Roman" w:hint="default"/>
      </w:rPr>
    </w:lvl>
    <w:lvl w:ilvl="1">
      <w:start w:val="1"/>
      <w:numFmt w:val="lowerLetter"/>
      <w:lvlText w:val="%2."/>
      <w:lvlJc w:val="left"/>
      <w:pPr>
        <w:tabs>
          <w:tab w:val="left" w:pos="1896"/>
        </w:tabs>
        <w:ind w:left="1896" w:hanging="360"/>
      </w:pPr>
      <w:rPr>
        <w:rFonts w:hint="default"/>
      </w:rPr>
    </w:lvl>
    <w:lvl w:ilvl="2">
      <w:start w:val="1"/>
      <w:numFmt w:val="lowerRoman"/>
      <w:lvlText w:val="%3."/>
      <w:lvlJc w:val="right"/>
      <w:pPr>
        <w:tabs>
          <w:tab w:val="left" w:pos="2616"/>
        </w:tabs>
        <w:ind w:left="2616" w:hanging="180"/>
      </w:pPr>
      <w:rPr>
        <w:rFonts w:hint="default"/>
      </w:rPr>
    </w:lvl>
    <w:lvl w:ilvl="3">
      <w:start w:val="1"/>
      <w:numFmt w:val="decimal"/>
      <w:lvlText w:val="%4."/>
      <w:lvlJc w:val="left"/>
      <w:pPr>
        <w:tabs>
          <w:tab w:val="left" w:pos="3336"/>
        </w:tabs>
        <w:ind w:left="3336" w:hanging="360"/>
      </w:pPr>
      <w:rPr>
        <w:rFonts w:hint="default"/>
      </w:rPr>
    </w:lvl>
    <w:lvl w:ilvl="4">
      <w:start w:val="1"/>
      <w:numFmt w:val="lowerLetter"/>
      <w:lvlText w:val="%5."/>
      <w:lvlJc w:val="left"/>
      <w:pPr>
        <w:tabs>
          <w:tab w:val="left" w:pos="4056"/>
        </w:tabs>
        <w:ind w:left="4056" w:hanging="360"/>
      </w:pPr>
      <w:rPr>
        <w:rFonts w:hint="default"/>
      </w:rPr>
    </w:lvl>
    <w:lvl w:ilvl="5">
      <w:start w:val="1"/>
      <w:numFmt w:val="lowerRoman"/>
      <w:lvlText w:val="%6."/>
      <w:lvlJc w:val="right"/>
      <w:pPr>
        <w:tabs>
          <w:tab w:val="left" w:pos="4776"/>
        </w:tabs>
        <w:ind w:left="4776" w:hanging="180"/>
      </w:pPr>
      <w:rPr>
        <w:rFonts w:hint="default"/>
      </w:rPr>
    </w:lvl>
    <w:lvl w:ilvl="6">
      <w:start w:val="1"/>
      <w:numFmt w:val="decimal"/>
      <w:lvlText w:val="%7."/>
      <w:lvlJc w:val="left"/>
      <w:pPr>
        <w:tabs>
          <w:tab w:val="left" w:pos="5496"/>
        </w:tabs>
        <w:ind w:left="5496" w:hanging="360"/>
      </w:pPr>
      <w:rPr>
        <w:rFonts w:hint="default"/>
      </w:rPr>
    </w:lvl>
    <w:lvl w:ilvl="7">
      <w:start w:val="1"/>
      <w:numFmt w:val="lowerLetter"/>
      <w:lvlText w:val="%8."/>
      <w:lvlJc w:val="left"/>
      <w:pPr>
        <w:tabs>
          <w:tab w:val="left" w:pos="6216"/>
        </w:tabs>
        <w:ind w:left="6216" w:hanging="360"/>
      </w:pPr>
      <w:rPr>
        <w:rFonts w:hint="default"/>
      </w:rPr>
    </w:lvl>
    <w:lvl w:ilvl="8">
      <w:start w:val="1"/>
      <w:numFmt w:val="lowerRoman"/>
      <w:lvlText w:val="%9."/>
      <w:lvlJc w:val="right"/>
      <w:pPr>
        <w:tabs>
          <w:tab w:val="left" w:pos="6936"/>
        </w:tabs>
        <w:ind w:left="6936" w:hanging="180"/>
      </w:pPr>
      <w:rPr>
        <w:rFonts w:hint="default"/>
      </w:rPr>
    </w:lvl>
  </w:abstractNum>
  <w:abstractNum w:abstractNumId="7">
    <w:nsid w:val="7738779A"/>
    <w:multiLevelType w:val="multilevel"/>
    <w:tmpl w:val="7738779A"/>
    <w:lvl w:ilvl="0">
      <w:start w:val="1"/>
      <w:numFmt w:val="decimal"/>
      <w:pStyle w:val="heading1"/>
      <w:lvlText w:val="%1"/>
      <w:lvlJc w:val="left"/>
      <w:pPr>
        <w:tabs>
          <w:tab w:val="left" w:pos="567"/>
        </w:tabs>
        <w:ind w:left="567" w:hanging="567"/>
      </w:pPr>
      <w:rPr>
        <w:rFonts w:hint="default"/>
      </w:rPr>
    </w:lvl>
    <w:lvl w:ilvl="1">
      <w:start w:val="1"/>
      <w:numFmt w:val="decimal"/>
      <w:pStyle w:val="heading2"/>
      <w:lvlText w:val="%1.%2"/>
      <w:lvlJc w:val="left"/>
      <w:pPr>
        <w:tabs>
          <w:tab w:val="left" w:pos="567"/>
        </w:tabs>
        <w:ind w:left="567" w:hanging="567"/>
      </w:pPr>
      <w:rPr>
        <w:rFonts w:hint="default"/>
      </w:rPr>
    </w:lvl>
    <w:lvl w:ilvl="2">
      <w:start w:val="1"/>
      <w:numFmt w:val="decimal"/>
      <w:lvlText w:val="%1.%2.%3"/>
      <w:lvlJc w:val="left"/>
      <w:pPr>
        <w:tabs>
          <w:tab w:val="left" w:pos="851"/>
        </w:tabs>
        <w:ind w:left="851" w:hanging="851"/>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64"/>
        </w:tabs>
        <w:ind w:left="964" w:hanging="964"/>
      </w:pPr>
      <w:rPr>
        <w:rFonts w:ascii="Times New Roman" w:hAnsi="Times New Roman" w:hint="default"/>
        <w:b w:val="0"/>
        <w:i/>
        <w:sz w:val="20"/>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
    <w:nsid w:val="7761032A"/>
    <w:multiLevelType w:val="multilevel"/>
    <w:tmpl w:val="7761032A"/>
    <w:lvl w:ilvl="0">
      <w:start w:val="1"/>
      <w:numFmt w:val="bullet"/>
      <w:lvlText w:val=""/>
      <w:lvlJc w:val="left"/>
      <w:pPr>
        <w:ind w:left="947" w:hanging="360"/>
      </w:pPr>
      <w:rPr>
        <w:rFonts w:ascii="Symbol" w:hAnsi="Symbol"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9">
    <w:nsid w:val="7B274BC8"/>
    <w:multiLevelType w:val="multilevel"/>
    <w:tmpl w:val="7B274BC8"/>
    <w:lvl w:ilvl="0">
      <w:start w:val="1"/>
      <w:numFmt w:val="decimal"/>
      <w:pStyle w:val="numitem"/>
      <w:lvlText w:val="%1."/>
      <w:lvlJc w:val="right"/>
      <w:pPr>
        <w:tabs>
          <w:tab w:val="left" w:pos="0"/>
        </w:tabs>
        <w:ind w:left="227" w:hanging="57"/>
      </w:pPr>
      <w:rPr>
        <w:rFonts w:hint="default"/>
      </w:rPr>
    </w:lvl>
    <w:lvl w:ilvl="1">
      <w:start w:val="1"/>
      <w:numFmt w:val="lowerLetter"/>
      <w:lvlText w:val="%2."/>
      <w:lvlJc w:val="left"/>
      <w:pPr>
        <w:tabs>
          <w:tab w:val="left" w:pos="227"/>
        </w:tabs>
        <w:ind w:left="454" w:hanging="227"/>
      </w:pPr>
      <w:rPr>
        <w:rFonts w:hint="default"/>
      </w:rPr>
    </w:lvl>
    <w:lvl w:ilvl="2">
      <w:start w:val="1"/>
      <w:numFmt w:val="decimal"/>
      <w:lvlText w:val="(%3)"/>
      <w:lvlJc w:val="left"/>
      <w:pPr>
        <w:tabs>
          <w:tab w:val="left" w:pos="454"/>
        </w:tabs>
        <w:ind w:left="794" w:hanging="340"/>
      </w:pPr>
      <w:rPr>
        <w:rFonts w:hint="default"/>
      </w:rPr>
    </w:lvl>
    <w:lvl w:ilvl="3">
      <w:start w:val="1"/>
      <w:numFmt w:val="lowerRoman"/>
      <w:lvlText w:val="%4."/>
      <w:lvlJc w:val="left"/>
      <w:pPr>
        <w:tabs>
          <w:tab w:val="left" w:pos="794"/>
        </w:tabs>
        <w:ind w:left="1077" w:hanging="283"/>
      </w:pPr>
      <w:rPr>
        <w:rFonts w:hint="default"/>
      </w:rPr>
    </w:lvl>
    <w:lvl w:ilvl="4">
      <w:start w:val="1"/>
      <w:numFmt w:val="lowerLetter"/>
      <w:lvlText w:val="(%5)"/>
      <w:lvlJc w:val="left"/>
      <w:pPr>
        <w:tabs>
          <w:tab w:val="left" w:pos="1077"/>
        </w:tabs>
        <w:ind w:left="1360" w:hanging="283"/>
      </w:pPr>
      <w:rPr>
        <w:rFonts w:hint="default"/>
      </w:rPr>
    </w:lvl>
    <w:lvl w:ilvl="5">
      <w:start w:val="1"/>
      <w:numFmt w:val="upperLetter"/>
      <w:lvlText w:val="%6."/>
      <w:lvlJc w:val="left"/>
      <w:pPr>
        <w:tabs>
          <w:tab w:val="left"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5"/>
  </w:num>
  <w:num w:numId="3">
    <w:abstractNumId w:val="7"/>
  </w:num>
  <w:num w:numId="4">
    <w:abstractNumId w:val="9"/>
  </w:num>
  <w:num w:numId="5">
    <w:abstractNumId w:val="6"/>
  </w:num>
  <w:num w:numId="6">
    <w:abstractNumId w:val="8"/>
  </w:num>
  <w:num w:numId="7">
    <w:abstractNumId w:val="4"/>
  </w:num>
  <w:num w:numId="8">
    <w:abstractNumId w:val="1"/>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FCE"/>
    <w:rsid w:val="F9FD679B"/>
    <w:rsid w:val="FFF6FD60"/>
    <w:rsid w:val="000017A2"/>
    <w:rsid w:val="00007B52"/>
    <w:rsid w:val="00030A77"/>
    <w:rsid w:val="000A3D32"/>
    <w:rsid w:val="000A518F"/>
    <w:rsid w:val="001738DA"/>
    <w:rsid w:val="001A02F0"/>
    <w:rsid w:val="001F6AEC"/>
    <w:rsid w:val="0028132C"/>
    <w:rsid w:val="002C0334"/>
    <w:rsid w:val="002C7273"/>
    <w:rsid w:val="002D48C5"/>
    <w:rsid w:val="00382277"/>
    <w:rsid w:val="003836A5"/>
    <w:rsid w:val="003A6EF0"/>
    <w:rsid w:val="003D3775"/>
    <w:rsid w:val="004A4EB0"/>
    <w:rsid w:val="004B5302"/>
    <w:rsid w:val="004C48EC"/>
    <w:rsid w:val="004D367C"/>
    <w:rsid w:val="004D6F44"/>
    <w:rsid w:val="004E1FCC"/>
    <w:rsid w:val="00536236"/>
    <w:rsid w:val="005C2258"/>
    <w:rsid w:val="0064476E"/>
    <w:rsid w:val="006703F6"/>
    <w:rsid w:val="00680F62"/>
    <w:rsid w:val="006A6955"/>
    <w:rsid w:val="006B1AF3"/>
    <w:rsid w:val="006C01D2"/>
    <w:rsid w:val="006D2F8B"/>
    <w:rsid w:val="0076613F"/>
    <w:rsid w:val="00791265"/>
    <w:rsid w:val="0086742C"/>
    <w:rsid w:val="008A4D7B"/>
    <w:rsid w:val="008F2D4C"/>
    <w:rsid w:val="009623D5"/>
    <w:rsid w:val="009731DE"/>
    <w:rsid w:val="009930E4"/>
    <w:rsid w:val="009B0F28"/>
    <w:rsid w:val="009B2539"/>
    <w:rsid w:val="009F7FCE"/>
    <w:rsid w:val="00A01946"/>
    <w:rsid w:val="00A64D19"/>
    <w:rsid w:val="00AB5E35"/>
    <w:rsid w:val="00AD74E7"/>
    <w:rsid w:val="00B0194F"/>
    <w:rsid w:val="00B23481"/>
    <w:rsid w:val="00C67DA1"/>
    <w:rsid w:val="00CF7FCD"/>
    <w:rsid w:val="00D556DB"/>
    <w:rsid w:val="00DA294D"/>
    <w:rsid w:val="00DC2CA9"/>
    <w:rsid w:val="00DF5DF3"/>
    <w:rsid w:val="00DF64DA"/>
    <w:rsid w:val="00E603C7"/>
    <w:rsid w:val="00E67E0E"/>
    <w:rsid w:val="00E929DE"/>
    <w:rsid w:val="00EA6BEB"/>
    <w:rsid w:val="00EB0EC9"/>
    <w:rsid w:val="00EB6785"/>
    <w:rsid w:val="00EB762B"/>
    <w:rsid w:val="00EC68B8"/>
    <w:rsid w:val="00F03CE5"/>
    <w:rsid w:val="00F137A3"/>
    <w:rsid w:val="00F321B4"/>
    <w:rsid w:val="00F53BA4"/>
    <w:rsid w:val="6FBFC245"/>
    <w:rsid w:val="79DB8E58"/>
  </w:rsids>
  <m:mathPr>
    <m:mathFont m:val="Cambria Math"/>
    <m:brkBin m:val="before"/>
    <m:brkBinSub m:val="--"/>
    <m:smallFrac m:val="0"/>
    <m:dispDef/>
    <m:lMargin m:val="0"/>
    <m:rMargin m:val="0"/>
    <m:defJc m:val="centerGroup"/>
    <m:wrapIndent m:val="929"/>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43CF1B"/>
  <w15:docId w15:val="{0ED62003-7814-49BB-8922-E6354BDBE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qFormat="1"/>
    <w:lsdException w:name="heading 4" w:qFormat="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Closing" w:semiHidden="1"/>
    <w:lsdException w:name="Signature" w:semiHidden="1"/>
    <w:lsdException w:name="Default Paragraph Font" w:semiHidden="1" w:uiPriority="1" w:unhideWhenUsed="1"/>
    <w:lsdException w:name="Body Text"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line="240" w:lineRule="atLeast"/>
      <w:ind w:firstLine="227"/>
      <w:jc w:val="both"/>
      <w:textAlignment w:val="baseline"/>
    </w:pPr>
    <w:rPr>
      <w:lang w:eastAsia="en-US"/>
    </w:r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a">
    <w:name w:val="p1a"/>
    <w:basedOn w:val="Normal"/>
    <w:next w:val="Normal"/>
    <w:pPr>
      <w:ind w:firstLine="0"/>
    </w:pPr>
  </w:style>
  <w:style w:type="paragraph" w:styleId="BodyText">
    <w:name w:val="Body Text"/>
    <w:basedOn w:val="Normal"/>
    <w:uiPriority w:val="1"/>
    <w:qFormat/>
    <w:rPr>
      <w:rFonts w:ascii="Georgia" w:eastAsia="Georgia" w:hAnsi="Georgia" w:cs="Georgia"/>
    </w:rPr>
  </w:style>
  <w:style w:type="paragraph" w:styleId="Footer">
    <w:name w:val="footer"/>
    <w:basedOn w:val="Normal"/>
    <w:semiHidden/>
    <w:unhideWhenUsed/>
  </w:style>
  <w:style w:type="character" w:styleId="FootnoteReference">
    <w:name w:val="footnote reference"/>
    <w:semiHidden/>
    <w:unhideWhenUsed/>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styleId="Header">
    <w:name w:val="header"/>
    <w:basedOn w:val="Normal"/>
    <w:semiHidden/>
    <w:unhideWhenUsed/>
    <w:pPr>
      <w:tabs>
        <w:tab w:val="center" w:pos="4536"/>
        <w:tab w:val="right" w:pos="9072"/>
      </w:tabs>
      <w:ind w:firstLine="0"/>
    </w:pPr>
    <w:rPr>
      <w:sz w:val="18"/>
      <w:szCs w:val="18"/>
    </w:rPr>
  </w:style>
  <w:style w:type="character" w:styleId="Hyperlink">
    <w:name w:val="Hyperlink"/>
    <w:semiHidden/>
    <w:unhideWhenUsed/>
    <w:rPr>
      <w:color w:val="auto"/>
      <w:u w:val="none"/>
    </w:rPr>
  </w:style>
  <w:style w:type="character" w:styleId="PageNumber">
    <w:name w:val="page number"/>
    <w:semiHidden/>
    <w:unhideWhenUsed/>
    <w:rPr>
      <w:sz w:val="18"/>
    </w:rPr>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1"/>
      </w:numPr>
      <w:spacing w:before="160" w:after="160"/>
      <w:contextualSpacing/>
    </w:pPr>
  </w:style>
  <w:style w:type="paragraph" w:customStyle="1" w:styleId="dashitem">
    <w:name w:val="dashitem"/>
    <w:basedOn w:val="Normal"/>
    <w:pPr>
      <w:numPr>
        <w:numId w:val="2"/>
      </w:numPr>
      <w:spacing w:before="160" w:after="160"/>
      <w:contextualSpacing/>
    </w:pPr>
  </w:style>
  <w:style w:type="character" w:customStyle="1" w:styleId="e-mail">
    <w:name w:val="e-mail"/>
    <w:rPr>
      <w:rFonts w:ascii="Courier" w:hAnsi="Courier"/>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paragraph" w:customStyle="1" w:styleId="heading1">
    <w:name w:val="heading1"/>
    <w:basedOn w:val="Normal"/>
    <w:next w:val="p1a"/>
    <w:qFormat/>
    <w:pPr>
      <w:keepNext/>
      <w:keepLines/>
      <w:numPr>
        <w:numId w:val="3"/>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3"/>
      </w:numPr>
      <w:suppressAutoHyphens/>
      <w:spacing w:before="360" w:after="160"/>
      <w:jc w:val="left"/>
      <w:outlineLvl w:val="1"/>
    </w:pPr>
    <w:rPr>
      <w:b/>
    </w:rPr>
  </w:style>
  <w:style w:type="character" w:customStyle="1" w:styleId="heading30">
    <w:name w:val="heading3"/>
    <w:rPr>
      <w:b/>
    </w:rPr>
  </w:style>
  <w:style w:type="character" w:customStyle="1" w:styleId="heading40">
    <w:name w:val="heading4"/>
    <w:rPr>
      <w:i/>
    </w:rPr>
  </w:style>
  <w:style w:type="paragraph" w:customStyle="1" w:styleId="image">
    <w:name w:val="image"/>
    <w:basedOn w:val="Normal"/>
    <w:next w:val="Normal"/>
    <w:pPr>
      <w:spacing w:before="240" w:after="120"/>
      <w:ind w:firstLine="0"/>
      <w:jc w:val="center"/>
    </w:pPr>
  </w:style>
  <w:style w:type="paragraph" w:customStyle="1" w:styleId="keywords">
    <w:name w:val="keywords"/>
    <w:basedOn w:val="abstract"/>
    <w:next w:val="heading1"/>
    <w:pPr>
      <w:spacing w:before="220"/>
      <w:ind w:firstLine="0"/>
      <w:contextualSpacing w:val="0"/>
      <w:jc w:val="left"/>
    </w:pPr>
  </w:style>
  <w:style w:type="paragraph" w:customStyle="1" w:styleId="numitem">
    <w:name w:val="numitem"/>
    <w:basedOn w:val="Normal"/>
    <w:pPr>
      <w:numPr>
        <w:numId w:val="4"/>
      </w:numPr>
      <w:spacing w:before="160" w:after="160"/>
      <w:contextualSpacing/>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5"/>
      </w:numPr>
      <w:spacing w:line="220" w:lineRule="atLeast"/>
    </w:pPr>
    <w:rPr>
      <w:sz w:val="18"/>
    </w:r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rPr>
      <w:rFonts w:ascii="Courier" w:hAnsi="Courier"/>
    </w:rPr>
  </w:style>
  <w:style w:type="character" w:customStyle="1" w:styleId="ORCID">
    <w:name w:val="ORCID"/>
    <w:rPr>
      <w:position w:val="0"/>
      <w:vertAlign w:val="superscript"/>
    </w:rPr>
  </w:style>
  <w:style w:type="paragraph" w:customStyle="1" w:styleId="ReferenceLine">
    <w:name w:val="ReferenceLine"/>
    <w:basedOn w:val="p1a"/>
    <w:semiHidden/>
    <w:unhideWhenUsed/>
    <w:pPr>
      <w:spacing w:line="200" w:lineRule="exact"/>
    </w:pPr>
    <w:rPr>
      <w:sz w:val="16"/>
    </w:rPr>
  </w:style>
  <w:style w:type="paragraph" w:styleId="ListParagraph">
    <w:name w:val="List Paragraph"/>
    <w:basedOn w:val="Normal"/>
    <w:semiHidden/>
    <w:pPr>
      <w:ind w:left="720"/>
      <w:contextualSpacing/>
    </w:pPr>
  </w:style>
  <w:style w:type="paragraph" w:customStyle="1" w:styleId="AMDisplayEquation">
    <w:name w:val="AMDisplayEquation"/>
    <w:basedOn w:val="Normal"/>
    <w:next w:val="Normal"/>
    <w:link w:val="AMDisplayEquation0"/>
    <w:rsid w:val="001F6AEC"/>
    <w:pPr>
      <w:tabs>
        <w:tab w:val="center" w:pos="3460"/>
        <w:tab w:val="right" w:pos="6920"/>
      </w:tabs>
      <w:ind w:firstLine="0"/>
    </w:pPr>
  </w:style>
  <w:style w:type="character" w:customStyle="1" w:styleId="AMDisplayEquation0">
    <w:name w:val="AMDisplayEquation 字符"/>
    <w:basedOn w:val="DefaultParagraphFont"/>
    <w:link w:val="AMDisplayEquation"/>
    <w:rsid w:val="001F6AEC"/>
    <w:rPr>
      <w:lang w:eastAsia="en-US"/>
    </w:rPr>
  </w:style>
  <w:style w:type="character" w:customStyle="1" w:styleId="AMEquationSection">
    <w:name w:val="AMEquationSection"/>
    <w:basedOn w:val="DefaultParagraphFont"/>
    <w:rsid w:val="001738DA"/>
    <w:rPr>
      <w:b/>
      <w:vanish/>
      <w:color w:val="FF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49.wmf"/><Relationship Id="rId102" Type="http://schemas.openxmlformats.org/officeDocument/2006/relationships/oleObject" Target="embeddings/oleObject46.bin"/><Relationship Id="rId103" Type="http://schemas.openxmlformats.org/officeDocument/2006/relationships/oleObject" Target="embeddings/oleObject47.bin"/><Relationship Id="rId104" Type="http://schemas.openxmlformats.org/officeDocument/2006/relationships/header" Target="header1.xml"/><Relationship Id="rId105" Type="http://schemas.openxmlformats.org/officeDocument/2006/relationships/header" Target="header2.xml"/><Relationship Id="rId106" Type="http://schemas.openxmlformats.org/officeDocument/2006/relationships/fontTable" Target="fontTable.xml"/><Relationship Id="rId10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wmf"/><Relationship Id="rId11" Type="http://schemas.openxmlformats.org/officeDocument/2006/relationships/oleObject" Target="embeddings/oleObject1.bin"/><Relationship Id="rId12" Type="http://schemas.openxmlformats.org/officeDocument/2006/relationships/image" Target="media/image4.wmf"/><Relationship Id="rId13" Type="http://schemas.openxmlformats.org/officeDocument/2006/relationships/oleObject" Target="embeddings/oleObject2.bin"/><Relationship Id="rId14" Type="http://schemas.openxmlformats.org/officeDocument/2006/relationships/image" Target="media/image5.wmf"/><Relationship Id="rId15" Type="http://schemas.openxmlformats.org/officeDocument/2006/relationships/oleObject" Target="embeddings/oleObject3.bin"/><Relationship Id="rId16" Type="http://schemas.openxmlformats.org/officeDocument/2006/relationships/image" Target="media/image6.wmf"/><Relationship Id="rId17" Type="http://schemas.openxmlformats.org/officeDocument/2006/relationships/oleObject" Target="embeddings/oleObject4.bin"/><Relationship Id="rId18" Type="http://schemas.openxmlformats.org/officeDocument/2006/relationships/image" Target="media/image7.wmf"/><Relationship Id="rId19" Type="http://schemas.openxmlformats.org/officeDocument/2006/relationships/oleObject" Target="embeddings/oleObject5.bin"/><Relationship Id="rId30" Type="http://schemas.openxmlformats.org/officeDocument/2006/relationships/image" Target="media/image12.wmf"/><Relationship Id="rId31" Type="http://schemas.openxmlformats.org/officeDocument/2006/relationships/oleObject" Target="embeddings/oleObject12.bin"/><Relationship Id="rId32" Type="http://schemas.openxmlformats.org/officeDocument/2006/relationships/image" Target="media/image13.wmf"/><Relationship Id="rId33" Type="http://schemas.openxmlformats.org/officeDocument/2006/relationships/oleObject" Target="embeddings/oleObject13.bin"/><Relationship Id="rId34" Type="http://schemas.openxmlformats.org/officeDocument/2006/relationships/image" Target="media/image14.wmf"/><Relationship Id="rId35" Type="http://schemas.openxmlformats.org/officeDocument/2006/relationships/oleObject" Target="embeddings/oleObject14.bin"/><Relationship Id="rId36" Type="http://schemas.openxmlformats.org/officeDocument/2006/relationships/oleObject" Target="embeddings/oleObject15.bin"/><Relationship Id="rId37" Type="http://schemas.openxmlformats.org/officeDocument/2006/relationships/image" Target="media/image15.wmf"/><Relationship Id="rId38" Type="http://schemas.openxmlformats.org/officeDocument/2006/relationships/oleObject" Target="embeddings/oleObject16.bin"/><Relationship Id="rId39" Type="http://schemas.openxmlformats.org/officeDocument/2006/relationships/image" Target="media/image16.wmf"/><Relationship Id="rId50" Type="http://schemas.openxmlformats.org/officeDocument/2006/relationships/image" Target="media/image22.wmf"/><Relationship Id="rId51" Type="http://schemas.openxmlformats.org/officeDocument/2006/relationships/oleObject" Target="embeddings/oleObject22.bin"/><Relationship Id="rId52" Type="http://schemas.openxmlformats.org/officeDocument/2006/relationships/image" Target="media/image23.wmf"/><Relationship Id="rId53" Type="http://schemas.openxmlformats.org/officeDocument/2006/relationships/oleObject" Target="embeddings/oleObject23.bin"/><Relationship Id="rId54" Type="http://schemas.openxmlformats.org/officeDocument/2006/relationships/image" Target="media/image24.wmf"/><Relationship Id="rId55" Type="http://schemas.openxmlformats.org/officeDocument/2006/relationships/oleObject" Target="embeddings/oleObject24.bin"/><Relationship Id="rId56" Type="http://schemas.openxmlformats.org/officeDocument/2006/relationships/image" Target="media/image25.wmf"/><Relationship Id="rId57" Type="http://schemas.openxmlformats.org/officeDocument/2006/relationships/oleObject" Target="embeddings/oleObject25.bin"/><Relationship Id="rId58" Type="http://schemas.openxmlformats.org/officeDocument/2006/relationships/image" Target="media/image26.wmf"/><Relationship Id="rId59" Type="http://schemas.openxmlformats.org/officeDocument/2006/relationships/oleObject" Target="embeddings/oleObject26.bin"/><Relationship Id="rId70" Type="http://schemas.openxmlformats.org/officeDocument/2006/relationships/image" Target="media/image32.wmf"/><Relationship Id="rId71" Type="http://schemas.openxmlformats.org/officeDocument/2006/relationships/oleObject" Target="embeddings/oleObject32.bin"/><Relationship Id="rId72" Type="http://schemas.openxmlformats.org/officeDocument/2006/relationships/image" Target="media/image33.wmf"/><Relationship Id="rId73" Type="http://schemas.openxmlformats.org/officeDocument/2006/relationships/oleObject" Target="embeddings/oleObject33.bin"/><Relationship Id="rId74" Type="http://schemas.openxmlformats.org/officeDocument/2006/relationships/image" Target="media/image34.wmf"/><Relationship Id="rId75" Type="http://schemas.openxmlformats.org/officeDocument/2006/relationships/oleObject" Target="embeddings/oleObject34.bin"/><Relationship Id="rId76" Type="http://schemas.openxmlformats.org/officeDocument/2006/relationships/oleObject" Target="embeddings/oleObject35.bin"/><Relationship Id="rId77" Type="http://schemas.openxmlformats.org/officeDocument/2006/relationships/image" Target="media/image35.png"/><Relationship Id="rId78" Type="http://schemas.openxmlformats.org/officeDocument/2006/relationships/image" Target="media/image36.wmf"/><Relationship Id="rId79" Type="http://schemas.openxmlformats.org/officeDocument/2006/relationships/oleObject" Target="embeddings/oleObject36.bin"/><Relationship Id="rId90" Type="http://schemas.openxmlformats.org/officeDocument/2006/relationships/image" Target="media/image42.png"/><Relationship Id="rId91" Type="http://schemas.openxmlformats.org/officeDocument/2006/relationships/image" Target="media/image43.png"/><Relationship Id="rId92" Type="http://schemas.openxmlformats.org/officeDocument/2006/relationships/image" Target="media/image44.wmf"/><Relationship Id="rId93" Type="http://schemas.openxmlformats.org/officeDocument/2006/relationships/oleObject" Target="embeddings/oleObject42.bin"/><Relationship Id="rId94" Type="http://schemas.openxmlformats.org/officeDocument/2006/relationships/image" Target="media/image45.wmf"/><Relationship Id="rId95" Type="http://schemas.openxmlformats.org/officeDocument/2006/relationships/oleObject" Target="embeddings/oleObject43.bin"/><Relationship Id="rId96" Type="http://schemas.openxmlformats.org/officeDocument/2006/relationships/image" Target="media/image46.wmf"/><Relationship Id="rId97" Type="http://schemas.openxmlformats.org/officeDocument/2006/relationships/oleObject" Target="embeddings/oleObject44.bin"/><Relationship Id="rId98" Type="http://schemas.openxmlformats.org/officeDocument/2006/relationships/image" Target="media/image47.wmf"/><Relationship Id="rId99" Type="http://schemas.openxmlformats.org/officeDocument/2006/relationships/oleObject" Target="embeddings/oleObject45.bin"/><Relationship Id="rId20" Type="http://schemas.openxmlformats.org/officeDocument/2006/relationships/image" Target="media/image8.wmf"/><Relationship Id="rId21" Type="http://schemas.openxmlformats.org/officeDocument/2006/relationships/oleObject" Target="embeddings/oleObject6.bin"/><Relationship Id="rId22" Type="http://schemas.openxmlformats.org/officeDocument/2006/relationships/oleObject" Target="embeddings/oleObject7.bin"/><Relationship Id="rId23" Type="http://schemas.openxmlformats.org/officeDocument/2006/relationships/oleObject" Target="embeddings/oleObject8.bin"/><Relationship Id="rId24" Type="http://schemas.openxmlformats.org/officeDocument/2006/relationships/image" Target="media/image9.wmf"/><Relationship Id="rId25" Type="http://schemas.openxmlformats.org/officeDocument/2006/relationships/oleObject" Target="embeddings/oleObject9.bin"/><Relationship Id="rId26" Type="http://schemas.openxmlformats.org/officeDocument/2006/relationships/image" Target="media/image10.wmf"/><Relationship Id="rId27" Type="http://schemas.openxmlformats.org/officeDocument/2006/relationships/oleObject" Target="embeddings/oleObject10.bin"/><Relationship Id="rId28" Type="http://schemas.openxmlformats.org/officeDocument/2006/relationships/image" Target="media/image11.wmf"/><Relationship Id="rId29" Type="http://schemas.openxmlformats.org/officeDocument/2006/relationships/oleObject" Target="embeddings/oleObject11.bin"/><Relationship Id="rId40" Type="http://schemas.openxmlformats.org/officeDocument/2006/relationships/oleObject" Target="embeddings/oleObject17.bin"/><Relationship Id="rId41" Type="http://schemas.openxmlformats.org/officeDocument/2006/relationships/image" Target="media/image17.wmf"/><Relationship Id="rId42" Type="http://schemas.openxmlformats.org/officeDocument/2006/relationships/oleObject" Target="embeddings/oleObject18.bin"/><Relationship Id="rId43" Type="http://schemas.openxmlformats.org/officeDocument/2006/relationships/image" Target="media/image18.wmf"/><Relationship Id="rId44" Type="http://schemas.openxmlformats.org/officeDocument/2006/relationships/oleObject" Target="embeddings/oleObject19.bin"/><Relationship Id="rId45" Type="http://schemas.openxmlformats.org/officeDocument/2006/relationships/image" Target="media/image19.png"/><Relationship Id="rId46" Type="http://schemas.openxmlformats.org/officeDocument/2006/relationships/image" Target="media/image20.wmf"/><Relationship Id="rId47" Type="http://schemas.openxmlformats.org/officeDocument/2006/relationships/oleObject" Target="embeddings/oleObject20.bin"/><Relationship Id="rId48" Type="http://schemas.openxmlformats.org/officeDocument/2006/relationships/image" Target="media/image21.wmf"/><Relationship Id="rId49" Type="http://schemas.openxmlformats.org/officeDocument/2006/relationships/oleObject" Target="embeddings/oleObject21.bin"/><Relationship Id="rId60" Type="http://schemas.openxmlformats.org/officeDocument/2006/relationships/oleObject" Target="embeddings/oleObject27.bin"/><Relationship Id="rId61" Type="http://schemas.openxmlformats.org/officeDocument/2006/relationships/image" Target="media/image27.wmf"/><Relationship Id="rId62" Type="http://schemas.openxmlformats.org/officeDocument/2006/relationships/oleObject" Target="embeddings/oleObject28.bin"/><Relationship Id="rId63" Type="http://schemas.openxmlformats.org/officeDocument/2006/relationships/oleObject" Target="embeddings/oleObject29.bin"/><Relationship Id="rId64" Type="http://schemas.openxmlformats.org/officeDocument/2006/relationships/image" Target="media/image28.png"/><Relationship Id="rId65" Type="http://schemas.openxmlformats.org/officeDocument/2006/relationships/oleObject" Target="embeddings/oleObject30.bin"/><Relationship Id="rId66" Type="http://schemas.openxmlformats.org/officeDocument/2006/relationships/image" Target="media/image29.png"/><Relationship Id="rId67" Type="http://schemas.openxmlformats.org/officeDocument/2006/relationships/image" Target="media/image30.png"/><Relationship Id="rId68" Type="http://schemas.openxmlformats.org/officeDocument/2006/relationships/image" Target="media/image31.wmf"/><Relationship Id="rId69" Type="http://schemas.openxmlformats.org/officeDocument/2006/relationships/oleObject" Target="embeddings/oleObject31.bin"/><Relationship Id="rId100" Type="http://schemas.openxmlformats.org/officeDocument/2006/relationships/image" Target="media/image48.png"/><Relationship Id="rId80" Type="http://schemas.openxmlformats.org/officeDocument/2006/relationships/image" Target="media/image37.wmf"/><Relationship Id="rId81" Type="http://schemas.openxmlformats.org/officeDocument/2006/relationships/oleObject" Target="embeddings/oleObject37.bin"/><Relationship Id="rId82" Type="http://schemas.openxmlformats.org/officeDocument/2006/relationships/image" Target="media/image38.wmf"/><Relationship Id="rId83" Type="http://schemas.openxmlformats.org/officeDocument/2006/relationships/oleObject" Target="embeddings/oleObject38.bin"/><Relationship Id="rId84" Type="http://schemas.openxmlformats.org/officeDocument/2006/relationships/image" Target="media/image39.png"/><Relationship Id="rId85" Type="http://schemas.openxmlformats.org/officeDocument/2006/relationships/image" Target="media/image40.wmf"/><Relationship Id="rId86" Type="http://schemas.openxmlformats.org/officeDocument/2006/relationships/oleObject" Target="embeddings/oleObject39.bin"/><Relationship Id="rId87" Type="http://schemas.openxmlformats.org/officeDocument/2006/relationships/oleObject" Target="embeddings/oleObject40.bin"/><Relationship Id="rId88" Type="http://schemas.openxmlformats.org/officeDocument/2006/relationships/image" Target="media/image41.wmf"/><Relationship Id="rId89" Type="http://schemas.openxmlformats.org/officeDocument/2006/relationships/oleObject" Target="embeddings/oleObject41.bin"/></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8B5DA-6590-B045-945A-82A15843A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3837</Words>
  <Characters>21872</Characters>
  <Application>Microsoft Macintosh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dataspect IT-Services, Neckargemuend, Germany</Company>
  <LinksUpToDate>false</LinksUpToDate>
  <CharactersWithSpaces>25658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John Bolander</cp:lastModifiedBy>
  <cp:revision>2</cp:revision>
  <dcterms:created xsi:type="dcterms:W3CDTF">2025-05-14T05:08:00Z</dcterms:created>
  <dcterms:modified xsi:type="dcterms:W3CDTF">2025-05-14T05:08:00Z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1033-6.13.1.8710</vt:lpwstr>
  </property>
  <property fmtid="{D5CDD505-2E9C-101B-9397-08002B2CF9AE}" pid="3" name="ICV">
    <vt:lpwstr>B2AE9870860F47AFCB7822688C902A5B_42</vt:lpwstr>
  </property>
  <property fmtid="{D5CDD505-2E9C-101B-9397-08002B2CF9AE}" pid="4" name="AMWinEqns">
    <vt:bool>true</vt:bool>
  </property>
  <property fmtid="{D5CDD505-2E9C-101B-9397-08002B2CF9AE}" pid="5" name="AMEquationSection">
    <vt:lpwstr>1</vt:lpwstr>
  </property>
  <property fmtid="{D5CDD505-2E9C-101B-9397-08002B2CF9AE}" pid="6" name="AMEquationNumber2">
    <vt:lpwstr>(#E1)</vt:lpwstr>
  </property>
  <property fmtid="{D5CDD505-2E9C-101B-9397-08002B2CF9AE}" pid="7" name="AMDeferFieldUpdate">
    <vt:lpwstr>1</vt:lpwstr>
  </property>
</Properties>
</file>