
<file path=[Content_Types].xml><?xml version="1.0" encoding="utf-8"?>
<Types xmlns="http://schemas.openxmlformats.org/package/2006/content-types">
  <Default Extension="emf" ContentType="image/x-emf"/>
  <Default Extension="ICO" ContentType="image/.ico"/>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B87EB6" w14:textId="30DA2100" w:rsidR="009F7FCE" w:rsidRPr="00EE426C" w:rsidRDefault="00070A00" w:rsidP="00C24DEF">
      <w:pPr>
        <w:pStyle w:val="papertitle"/>
      </w:pPr>
      <w:r w:rsidRPr="008C60DD">
        <w:t xml:space="preserve">Advanced Learning Techniques for Predicting </w:t>
      </w:r>
      <w:r w:rsidRPr="00D734FE">
        <w:t>Torsional</w:t>
      </w:r>
      <w:r w:rsidRPr="008C60DD">
        <w:t xml:space="preserve"> Responses: Application to a Long-Span Bridge</w:t>
      </w:r>
      <w:r>
        <w:t xml:space="preserve"> </w:t>
      </w:r>
    </w:p>
    <w:p w14:paraId="525261C6" w14:textId="77777777" w:rsidR="00070A00" w:rsidRPr="005E77DC" w:rsidRDefault="00070A00" w:rsidP="00070A00">
      <w:pPr>
        <w:pStyle w:val="author"/>
      </w:pPr>
      <w:proofErr w:type="spellStart"/>
      <w:r w:rsidRPr="005E77DC">
        <w:t>Ataollah</w:t>
      </w:r>
      <w:proofErr w:type="spellEnd"/>
      <w:r w:rsidRPr="005E77DC">
        <w:t xml:space="preserve"> Sadri Rad</w:t>
      </w:r>
      <w:r w:rsidRPr="005E77DC">
        <w:rPr>
          <w:rStyle w:val="ORCID"/>
        </w:rPr>
        <w:t>1</w:t>
      </w:r>
      <w:r w:rsidRPr="005E77DC">
        <w:t xml:space="preserve">, </w:t>
      </w:r>
      <w:proofErr w:type="spellStart"/>
      <w:r w:rsidRPr="005E77DC">
        <w:t>Faeze</w:t>
      </w:r>
      <w:proofErr w:type="spellEnd"/>
      <w:r w:rsidRPr="005E77DC">
        <w:t xml:space="preserve"> </w:t>
      </w:r>
      <w:proofErr w:type="spellStart"/>
      <w:r w:rsidRPr="005E77DC">
        <w:t>Arami</w:t>
      </w:r>
      <w:proofErr w:type="spellEnd"/>
      <w:r w:rsidRPr="005E77DC">
        <w:t xml:space="preserve"> </w:t>
      </w:r>
      <w:proofErr w:type="spellStart"/>
      <w:r w:rsidRPr="005E77DC">
        <w:t>Shourabi</w:t>
      </w:r>
      <w:proofErr w:type="spellEnd"/>
      <w:r w:rsidRPr="005E77DC">
        <w:rPr>
          <w:rStyle w:val="ORCID"/>
        </w:rPr>
        <w:t xml:space="preserve"> </w:t>
      </w:r>
      <w:r>
        <w:rPr>
          <w:rStyle w:val="ORCID"/>
        </w:rPr>
        <w:t>1</w:t>
      </w:r>
      <w:r w:rsidRPr="005E77DC">
        <w:t>,</w:t>
      </w:r>
      <w:r>
        <w:t xml:space="preserve"> Hassan Sarmadi</w:t>
      </w:r>
      <w:r w:rsidRPr="005925A9">
        <w:rPr>
          <w:vertAlign w:val="superscript"/>
        </w:rPr>
        <w:t>2</w:t>
      </w:r>
      <w:r>
        <w:t xml:space="preserve">, </w:t>
      </w:r>
      <w:r w:rsidRPr="005E77DC">
        <w:t>Alireza Entezami</w:t>
      </w:r>
      <w:r>
        <w:rPr>
          <w:rStyle w:val="ORCID"/>
        </w:rPr>
        <w:t>1</w:t>
      </w:r>
      <w:r w:rsidRPr="005E77DC">
        <w:t>, B</w:t>
      </w:r>
      <w:r>
        <w:t>ahareh</w:t>
      </w:r>
      <w:r w:rsidRPr="005E77DC">
        <w:t xml:space="preserve"> Beh</w:t>
      </w:r>
      <w:r>
        <w:t>kamal</w:t>
      </w:r>
      <w:r>
        <w:rPr>
          <w:vertAlign w:val="superscript"/>
        </w:rPr>
        <w:t>1</w:t>
      </w:r>
    </w:p>
    <w:p w14:paraId="3D7DC850" w14:textId="77777777" w:rsidR="00070A00" w:rsidRDefault="00070A00" w:rsidP="00070A00">
      <w:pPr>
        <w:pStyle w:val="address"/>
      </w:pPr>
      <w:r w:rsidRPr="009913E7">
        <w:rPr>
          <w:vertAlign w:val="superscript"/>
        </w:rPr>
        <w:t>1</w:t>
      </w:r>
      <w:r>
        <w:t xml:space="preserve"> </w:t>
      </w:r>
      <w:bookmarkStart w:id="0" w:name="OLE_LINK1"/>
      <w:r w:rsidRPr="009913E7">
        <w:t>Department of Civil and Environmental Engineering, Politecnico di Milano, Mila</w:t>
      </w:r>
      <w:r>
        <w:t>n</w:t>
      </w:r>
      <w:r w:rsidRPr="009913E7">
        <w:t xml:space="preserve">, Italy </w:t>
      </w:r>
      <w:bookmarkEnd w:id="0"/>
    </w:p>
    <w:p w14:paraId="1D7A87AC" w14:textId="77777777" w:rsidR="00070A00" w:rsidRPr="009913E7" w:rsidRDefault="00070A00" w:rsidP="00070A00">
      <w:pPr>
        <w:pStyle w:val="address"/>
      </w:pPr>
      <w:r w:rsidRPr="00BD58D2">
        <w:rPr>
          <w:vertAlign w:val="superscript"/>
        </w:rPr>
        <w:t>2</w:t>
      </w:r>
      <w:r>
        <w:rPr>
          <w:vertAlign w:val="superscript"/>
        </w:rPr>
        <w:t xml:space="preserve"> </w:t>
      </w:r>
      <w:r>
        <w:t>Research and Development Director</w:t>
      </w:r>
      <w:r w:rsidRPr="00BD58D2">
        <w:t xml:space="preserve">, </w:t>
      </w:r>
      <w:r>
        <w:t>IPESFP Startup Company</w:t>
      </w:r>
      <w:r w:rsidRPr="00BD58D2">
        <w:t>, Mashhad, Iran</w:t>
      </w:r>
    </w:p>
    <w:p w14:paraId="00B38676" w14:textId="73299E09" w:rsidR="00070A00" w:rsidRPr="00D76991" w:rsidRDefault="00070A00" w:rsidP="00070A00">
      <w:pPr>
        <w:pStyle w:val="address"/>
        <w:rPr>
          <w:rFonts w:ascii="Courier" w:hAnsi="Courier"/>
          <w:noProof/>
        </w:rPr>
      </w:pPr>
      <w:r>
        <w:rPr>
          <w:rStyle w:val="e-mail"/>
        </w:rPr>
        <w:t>ataollah.Sadri@mail.polimi.it</w:t>
      </w:r>
    </w:p>
    <w:p w14:paraId="528905C5" w14:textId="4B21027F" w:rsidR="00382277" w:rsidRPr="00EE426C" w:rsidRDefault="009B2539" w:rsidP="00EE426C">
      <w:pPr>
        <w:pStyle w:val="abstract"/>
        <w:spacing w:after="0"/>
        <w:ind w:firstLine="0"/>
      </w:pPr>
      <w:r w:rsidRPr="00EE426C">
        <w:rPr>
          <w:b/>
          <w:bCs/>
        </w:rPr>
        <w:t xml:space="preserve">Abstract. </w:t>
      </w:r>
      <w:r w:rsidR="00070A00">
        <w:t xml:space="preserve">Torsional vibration responses of cable-supported bridges subjected to strong wind loads can induce severe twisting motions that significantly compromise structural integrity, potentially leading to catastrophic failures, reduced driving comfort, and accelerated fatigue in structural components, ultimately threatening both safety and longevity of such bridges. Accordingly, understanding and predicting wind-induced torsional vibration responses of cable-supported bridges bring substantial benefits to ensuring structural safety, enhancing service life, improving driving comfort. This study proposes a machine learning-aided prediction framework based on a Bayesian Neural Network (BNN) to forecast the root-mean-square (RMS) values of torsional acceleration responses in a long-span suspension bridge. Wind data, including speed and direction, are collected from a tri-axial anemometer installed at the mid-span of the bridge deck. To address potential multicollinearity issues arising from diverse wind features, a variance inflation factor (VIF)-based feature selection and predictor normalization are applied to enhance model stability. The proposed BNN model is trained as a regressor, incorporating rigorous hyperparameter optimization and k-fold cross-validation to improve generalization while capturing both aleatoric and epistemic uncertainties effectively. </w:t>
      </w:r>
      <w:r w:rsidR="00070A00" w:rsidRPr="00923C73">
        <w:t>Results confirm</w:t>
      </w:r>
      <w:r w:rsidR="00070A00">
        <w:t xml:space="preserve"> the effectiveness of the proposed method in achieving the</w:t>
      </w:r>
      <w:r w:rsidR="00070A00" w:rsidRPr="00121C6D">
        <w:t xml:space="preserve"> </w:t>
      </w:r>
      <w:r w:rsidR="00070A00">
        <w:t>prediction accuracy rates of 97% during the training phase and 77% during the testing phase.</w:t>
      </w:r>
    </w:p>
    <w:p w14:paraId="6DAF483B" w14:textId="7DEB5568" w:rsidR="00382277" w:rsidRPr="00EE426C" w:rsidRDefault="009B2539" w:rsidP="00EE426C">
      <w:pPr>
        <w:pStyle w:val="keywords"/>
      </w:pPr>
      <w:r w:rsidRPr="00EE426C">
        <w:rPr>
          <w:b/>
          <w:bCs/>
        </w:rPr>
        <w:t>Keywords:</w:t>
      </w:r>
      <w:r w:rsidRPr="00EE426C">
        <w:t xml:space="preserve"> </w:t>
      </w:r>
      <w:r w:rsidR="00070A00" w:rsidRPr="00923C73">
        <w:t xml:space="preserve">Bayesian Neural Network, Structural Health Monitoring, Wind-Induced Vibration, Long-Span </w:t>
      </w:r>
      <w:r w:rsidR="00070A00">
        <w:t xml:space="preserve">Suspension </w:t>
      </w:r>
      <w:r w:rsidR="00070A00" w:rsidRPr="00923C73">
        <w:t>Bridge, Uncertainty Quantification</w:t>
      </w:r>
    </w:p>
    <w:p w14:paraId="22179C84" w14:textId="1EA5B2F4" w:rsidR="00070A00" w:rsidRDefault="00070A00" w:rsidP="00070A00">
      <w:pPr>
        <w:pStyle w:val="heading1"/>
      </w:pPr>
      <w:r>
        <w:t>Introduction</w:t>
      </w:r>
    </w:p>
    <w:p w14:paraId="1FF1B821" w14:textId="77777777" w:rsidR="00070A00" w:rsidRDefault="00070A00" w:rsidP="00070A00">
      <w:r>
        <w:t xml:space="preserve">Cable-supported bridges are critical components of modern infrastructure, enabling the spanning of vast geographical features such as rivers, seas, and valleys with remarkable efficiency. Their lightweight and flexible design allows for long spans that are both economically and structurally advantageous. However, these very characteristics also render them particularly susceptible to wind-induced vibrations and dynamic loading effects. Strong winds can trigger excessive oscillations, leading to fatigue damage in critical components such as girders, cables, and towers, which compromises the </w:t>
      </w:r>
      <w:r>
        <w:lastRenderedPageBreak/>
        <w:t xml:space="preserve">structural integrity and service life of the bridge </w:t>
      </w:r>
      <w:r>
        <w:fldChar w:fldCharType="begin">
          <w:fldData xml:space="preserve">PEVuZE5vdGU+PENpdGU+PEF1dGhvcj5MYXJzZW48L0F1dGhvcj48WWVhcj4yMDE1PC9ZZWFyPjxS
ZWNOdW0+MjYzMjwvUmVjTnVtPjxEaXNwbGF5VGV4dD5bMS0zXTwvRGlzcGxheVRleHQ+PHJlY29y
ZD48cmVjLW51bWJlcj4yNjMyPC9yZWMtbnVtYmVyPjxmb3JlaWduLWtleXM+PGtleSBhcHA9IkVO
IiBkYi1pZD0idHRwc3BwYXM0YTV3dmZlYTl4cjUyOXN3MjBkNXMycjJmc3NzIiB0aW1lc3RhbXA9
IjE2OTE3NzU3NzgiPjI2MzI8L2tleT48L2ZvcmVpZ24ta2V5cz48cmVmLXR5cGUgbmFtZT0iSm91
cm5hbCBBcnRpY2xlIj4xNzwvcmVmLXR5cGU+PGNvbnRyaWJ1dG9ycz48YXV0aG9ycz48YXV0aG9y
PkxhcnNlbiwgQWxsYW48L2F1dGhvcj48YXV0aG9yPkxhcm9zZSwgR3V5IEwuPC9hdXRob3I+PC9h
dXRob3JzPjwvY29udHJpYnV0b3JzPjx0aXRsZXM+PHRpdGxlPkR5bmFtaWMgd2luZCBlZmZlY3Rz
IG9uIHN1c3BlbnNpb24gYW5kIGNhYmxlLXN0YXllZCBicmlkZ2VzPC90aXRsZT48c2Vjb25kYXJ5
LXRpdGxlPkpvdXJuYWwgb2YgU291bmQgYW5kIFZpYnJhdGlvbjwvc2Vjb25kYXJ5LXRpdGxlPjwv
dGl0bGVzPjxwZXJpb2RpY2FsPjxmdWxsLXRpdGxlPkpvdXJuYWwgb2YgU291bmQgYW5kIFZpYnJh
dGlvbjwvZnVsbC10aXRsZT48YWJici0xPkouIFNvdW5kIFZpYi48L2FiYnItMT48YWJici0yPkog
U291bmQgVmliPC9hYmJyLTI+PC9wZXJpb2RpY2FsPjxwYWdlcz4yLTI4PC9wYWdlcz48dm9sdW1l
PjMzNDwvdm9sdW1lPjxkYXRlcz48eWVhcj4yMDE1PC95ZWFyPjxwdWItZGF0ZXM+PGRhdGU+MjAx
NS8wMS8wNi88L2RhdGU+PC9wdWItZGF0ZXM+PC9kYXRlcz48aXNibj4wMDIyLTQ2MFg8L2lzYm4+
PHVybHM+PHJlbGF0ZWQtdXJscz48dXJsPmh0dHBzOi8vd3d3LnNjaWVuY2VkaXJlY3QuY29tL3Nj
aWVuY2UvYXJ0aWNsZS9waWkvUzAwMjI0NjBYMTQwMDQ5NDU8L3VybD48L3JlbGF0ZWQtdXJscz48
L3VybHM+PGVsZWN0cm9uaWMtcmVzb3VyY2UtbnVtPmh0dHBzOi8vZG9pLm9yZy8xMC4xMDE2L2ou
anN2LjIwMTQuMDYuMDA5PC9lbGVjdHJvbmljLXJlc291cmNlLW51bT48L3JlY29yZD48L0NpdGU+
PENpdGU+PEF1dGhvcj5XYW5nPC9BdXRob3I+PFllYXI+MjAyMDwvWWVhcj48UmVjTnVtPjIzMDk8
L1JlY051bT48cmVjb3JkPjxyZWMtbnVtYmVyPjIzMDk8L3JlYy1udW1iZXI+PGZvcmVpZ24ta2V5
cz48a2V5IGFwcD0iRU4iIGRiLWlkPSJ0dHBzcHBhczRhNXd2ZmVhOXhyNTI5c3cyMGQ1czJyMmZz
c3MiIHRpbWVzdGFtcD0iMTY3NTE4MTc4OCI+MjMwOTwva2V5PjwvZm9yZWlnbi1rZXlzPjxyZWYt
dHlwZSBuYW1lPSJKb3VybmFsIEFydGljbGUiPjE3PC9yZWYtdHlwZT48Y29udHJpYnV0b3JzPjxh
dXRob3JzPjxhdXRob3I+V2FuZywgSGFvPC9hdXRob3I+PGF1dGhvcj5NYW8sIEppYW4tWGlhbzwv
YXV0aG9yPjxhdXRob3I+WHUsIFppLURvbmc8L2F1dGhvcj48L2F1dGhvcnM+PC9jb250cmlidXRv
cnM+PHRpdGxlcz48dGl0bGU+SW52ZXN0aWdhdGlvbiBvZiBkeW5hbWljIHByb3BlcnRpZXMgb2Yg
YSBsb25nLXNwYW4gY2FibGUtc3RheWVkIGJyaWRnZSBkdXJpbmcgdHlwaG9vbiBldmVudHMgYmFz
ZWQgb24gc3RydWN0dXJhbCBoZWFsdGggbW9uaXRvcmluZzwvdGl0bGU+PHNlY29uZGFyeS10aXRs
ZT5Kb3VybmFsIG9mIFdpbmQgRW5naW5lZXJpbmcgYW5kIEluZHVzdHJpYWwgQWVyb2R5bmFtaWNz
PC9zZWNvbmRhcnktdGl0bGU+PC90aXRsZXM+PHBhZ2VzPjEwNDE3MjwvcGFnZXM+PHZvbHVtZT4y
MDE8L3ZvbHVtZT48a2V5d29yZHM+PGtleXdvcmQ+TG9uZy1zcGFuIGJyaWRnZTwva2V5d29yZD48
a2V5d29yZD5WaWJyYXRpb24gcmVzcG9uc2VzPC9rZXl3b3JkPjxrZXl3b3JkPk1vZGFsIHBhcmFt
ZXRlcnM8L2tleXdvcmQ+PGtleXdvcmQ+VHlwaG9vbjwva2V5d29yZD48a2V5d29yZD5TdHJ1Y3R1
cmFsIGhlYWx0aCBtb25pdG9yaW5nPC9rZXl3b3JkPjwva2V5d29yZHM+PGRhdGVzPjx5ZWFyPjIw
MjA8L3llYXI+PHB1Yi1kYXRlcz48ZGF0ZT4yMDIwLzA2LzAxLzwvZGF0ZT48L3B1Yi1kYXRlcz48
L2RhdGVzPjxpc2JuPjAxNjctNjEwNTwvaXNibj48dXJscz48cmVsYXRlZC11cmxzPjx1cmw+aHR0
cHM6Ly93d3cuc2NpZW5jZWRpcmVjdC5jb20vc2NpZW5jZS9hcnRpY2xlL3BpaS9TMDE2NzYxMDUy
MDMwMDgyOTwvdXJsPjwvcmVsYXRlZC11cmxzPjwvdXJscz48ZWxlY3Ryb25pYy1yZXNvdXJjZS1u
dW0+aHR0cHM6Ly9kb2kub3JnLzEwLjEwMTYvai5qd2VpYS4yMDIwLjEwNDE3MjwvZWxlY3Ryb25p
Yy1yZXNvdXJjZS1udW0+PC9yZWNvcmQ+PC9DaXRlPjxDaXRlPjxBdXRob3I+WmhvdTwvQXV0aG9y
PjxZZWFyPjIwMTg8L1llYXI+PFJlY051bT4yNzQyPC9SZWNOdW0+PHJlY29yZD48cmVjLW51bWJl
cj4yNzQyPC9yZWMtbnVtYmVyPjxmb3JlaWduLWtleXM+PGtleSBhcHA9IkVOIiBkYi1pZD0idHRw
c3BwYXM0YTV3dmZlYTl4cjUyOXN3MjBkNXMycjJmc3NzIiB0aW1lc3RhbXA9IjE3MDA0OTg3OTYi
PjI3NDI8L2tleT48L2ZvcmVpZ24ta2V5cz48cmVmLXR5cGUgbmFtZT0iSm91cm5hbCBBcnRpY2xl
Ij4xNzwvcmVmLXR5cGU+PGNvbnRyaWJ1dG9ycz48YXV0aG9ycz48YXV0aG9yPlpob3UsIFlpPC9h
dXRob3I+PGF1dGhvcj5TdW4sIExpbWluPC9hdXRob3I+PC9hdXRob3JzPjwvY29udHJpYnV0b3Jz
Pjx0aXRsZXM+PHRpdGxlPkVmZmVjdHMgb2YgaGlnaCB3aW5kcyBvbiBhIGxvbmctc3BhbiBzZWEt
Y3Jvc3NpbmcgYnJpZGdlIGJhc2VkIG9uIHN0cnVjdHVyYWwgaGVhbHRoIG1vbml0b3Jpbmc8L3Rp
dGxlPjxzZWNvbmRhcnktdGl0bGU+Sm91cm5hbCBvZiBXaW5kIEVuZ2luZWVyaW5nIGFuZCBJbmR1
c3RyaWFsIEFlcm9keW5hbWljczwvc2Vjb25kYXJ5LXRpdGxlPjwvdGl0bGVzPjxwYWdlcz4yNjAt
MjY4PC9wYWdlcz48dm9sdW1lPjE3NDwvdm9sdW1lPjxrZXl3b3Jkcz48a2V5d29yZD5TZWEtY3Jv
c3NpbmcgYnJpZGdlPC9rZXl3b3JkPjxrZXl3b3JkPldpbmQtaW5kdWNlZCB2aWJyYXRpb248L2tl
eXdvcmQ+PGtleXdvcmQ+TW9kYWwgcGFyYW1ldGVyPC9rZXl3b3JkPjxrZXl3b3JkPkhlYXZ5LWxv
YWQgdHJhZmZpYzwva2V5d29yZD48a2V5d29yZD5TdHJ1Y3R1cmFsIGhlYWx0aCBtb25pdG9yaW5n
IChTSE0pPC9rZXl3b3JkPjwva2V5d29yZHM+PGRhdGVzPjx5ZWFyPjIwMTg8L3llYXI+PHB1Yi1k
YXRlcz48ZGF0ZT4yMDE4LzAzLzAxLzwvZGF0ZT48L3B1Yi1kYXRlcz48L2RhdGVzPjxpc2JuPjAx
NjctNjEwNTwvaXNibj48dXJscz48cmVsYXRlZC11cmxzPjx1cmw+aHR0cHM6Ly93d3cuc2NpZW5j
ZWRpcmVjdC5jb20vc2NpZW5jZS9hcnRpY2xlL3BpaS9TMDE2NzYxMDUxNzMwOTA5MTwvdXJsPjwv
cmVsYXRlZC11cmxzPjwvdXJscz48ZWxlY3Ryb25pYy1yZXNvdXJjZS1udW0+aHR0cHM6Ly9kb2ku
b3JnLzEwLjEwMTYvai5qd2VpYS4yMDE4LjAxLjAwMTwvZWxlY3Ryb25pYy1yZXNvdXJjZS1udW0+
PC9yZWNvcmQ+PC9DaXRlPjwvRW5kTm90ZT4A
</w:fldData>
        </w:fldChar>
      </w:r>
      <w:r>
        <w:instrText xml:space="preserve"> ADDIN EN.CITE </w:instrText>
      </w:r>
      <w:r>
        <w:fldChar w:fldCharType="begin">
          <w:fldData xml:space="preserve">PEVuZE5vdGU+PENpdGU+PEF1dGhvcj5MYXJzZW48L0F1dGhvcj48WWVhcj4yMDE1PC9ZZWFyPjxS
ZWNOdW0+MjYzMjwvUmVjTnVtPjxEaXNwbGF5VGV4dD5bMS0zXTwvRGlzcGxheVRleHQ+PHJlY29y
ZD48cmVjLW51bWJlcj4yNjMyPC9yZWMtbnVtYmVyPjxmb3JlaWduLWtleXM+PGtleSBhcHA9IkVO
IiBkYi1pZD0idHRwc3BwYXM0YTV3dmZlYTl4cjUyOXN3MjBkNXMycjJmc3NzIiB0aW1lc3RhbXA9
IjE2OTE3NzU3NzgiPjI2MzI8L2tleT48L2ZvcmVpZ24ta2V5cz48cmVmLXR5cGUgbmFtZT0iSm91
cm5hbCBBcnRpY2xlIj4xNzwvcmVmLXR5cGU+PGNvbnRyaWJ1dG9ycz48YXV0aG9ycz48YXV0aG9y
PkxhcnNlbiwgQWxsYW48L2F1dGhvcj48YXV0aG9yPkxhcm9zZSwgR3V5IEwuPC9hdXRob3I+PC9h
dXRob3JzPjwvY29udHJpYnV0b3JzPjx0aXRsZXM+PHRpdGxlPkR5bmFtaWMgd2luZCBlZmZlY3Rz
IG9uIHN1c3BlbnNpb24gYW5kIGNhYmxlLXN0YXllZCBicmlkZ2VzPC90aXRsZT48c2Vjb25kYXJ5
LXRpdGxlPkpvdXJuYWwgb2YgU291bmQgYW5kIFZpYnJhdGlvbjwvc2Vjb25kYXJ5LXRpdGxlPjwv
dGl0bGVzPjxwZXJpb2RpY2FsPjxmdWxsLXRpdGxlPkpvdXJuYWwgb2YgU291bmQgYW5kIFZpYnJh
dGlvbjwvZnVsbC10aXRsZT48YWJici0xPkouIFNvdW5kIFZpYi48L2FiYnItMT48YWJici0yPkog
U291bmQgVmliPC9hYmJyLTI+PC9wZXJpb2RpY2FsPjxwYWdlcz4yLTI4PC9wYWdlcz48dm9sdW1l
PjMzNDwvdm9sdW1lPjxkYXRlcz48eWVhcj4yMDE1PC95ZWFyPjxwdWItZGF0ZXM+PGRhdGU+MjAx
NS8wMS8wNi88L2RhdGU+PC9wdWItZGF0ZXM+PC9kYXRlcz48aXNibj4wMDIyLTQ2MFg8L2lzYm4+
PHVybHM+PHJlbGF0ZWQtdXJscz48dXJsPmh0dHBzOi8vd3d3LnNjaWVuY2VkaXJlY3QuY29tL3Nj
aWVuY2UvYXJ0aWNsZS9waWkvUzAwMjI0NjBYMTQwMDQ5NDU8L3VybD48L3JlbGF0ZWQtdXJscz48
L3VybHM+PGVsZWN0cm9uaWMtcmVzb3VyY2UtbnVtPmh0dHBzOi8vZG9pLm9yZy8xMC4xMDE2L2ou
anN2LjIwMTQuMDYuMDA5PC9lbGVjdHJvbmljLXJlc291cmNlLW51bT48L3JlY29yZD48L0NpdGU+
PENpdGU+PEF1dGhvcj5XYW5nPC9BdXRob3I+PFllYXI+MjAyMDwvWWVhcj48UmVjTnVtPjIzMDk8
L1JlY051bT48cmVjb3JkPjxyZWMtbnVtYmVyPjIzMDk8L3JlYy1udW1iZXI+PGZvcmVpZ24ta2V5
cz48a2V5IGFwcD0iRU4iIGRiLWlkPSJ0dHBzcHBhczRhNXd2ZmVhOXhyNTI5c3cyMGQ1czJyMmZz
c3MiIHRpbWVzdGFtcD0iMTY3NTE4MTc4OCI+MjMwOTwva2V5PjwvZm9yZWlnbi1rZXlzPjxyZWYt
dHlwZSBuYW1lPSJKb3VybmFsIEFydGljbGUiPjE3PC9yZWYtdHlwZT48Y29udHJpYnV0b3JzPjxh
dXRob3JzPjxhdXRob3I+V2FuZywgSGFvPC9hdXRob3I+PGF1dGhvcj5NYW8sIEppYW4tWGlhbzwv
YXV0aG9yPjxhdXRob3I+WHUsIFppLURvbmc8L2F1dGhvcj48L2F1dGhvcnM+PC9jb250cmlidXRv
cnM+PHRpdGxlcz48dGl0bGU+SW52ZXN0aWdhdGlvbiBvZiBkeW5hbWljIHByb3BlcnRpZXMgb2Yg
YSBsb25nLXNwYW4gY2FibGUtc3RheWVkIGJyaWRnZSBkdXJpbmcgdHlwaG9vbiBldmVudHMgYmFz
ZWQgb24gc3RydWN0dXJhbCBoZWFsdGggbW9uaXRvcmluZzwvdGl0bGU+PHNlY29uZGFyeS10aXRs
ZT5Kb3VybmFsIG9mIFdpbmQgRW5naW5lZXJpbmcgYW5kIEluZHVzdHJpYWwgQWVyb2R5bmFtaWNz
PC9zZWNvbmRhcnktdGl0bGU+PC90aXRsZXM+PHBhZ2VzPjEwNDE3MjwvcGFnZXM+PHZvbHVtZT4y
MDE8L3ZvbHVtZT48a2V5d29yZHM+PGtleXdvcmQ+TG9uZy1zcGFuIGJyaWRnZTwva2V5d29yZD48
a2V5d29yZD5WaWJyYXRpb24gcmVzcG9uc2VzPC9rZXl3b3JkPjxrZXl3b3JkPk1vZGFsIHBhcmFt
ZXRlcnM8L2tleXdvcmQ+PGtleXdvcmQ+VHlwaG9vbjwva2V5d29yZD48a2V5d29yZD5TdHJ1Y3R1
cmFsIGhlYWx0aCBtb25pdG9yaW5nPC9rZXl3b3JkPjwva2V5d29yZHM+PGRhdGVzPjx5ZWFyPjIw
MjA8L3llYXI+PHB1Yi1kYXRlcz48ZGF0ZT4yMDIwLzA2LzAxLzwvZGF0ZT48L3B1Yi1kYXRlcz48
L2RhdGVzPjxpc2JuPjAxNjctNjEwNTwvaXNibj48dXJscz48cmVsYXRlZC11cmxzPjx1cmw+aHR0
cHM6Ly93d3cuc2NpZW5jZWRpcmVjdC5jb20vc2NpZW5jZS9hcnRpY2xlL3BpaS9TMDE2NzYxMDUy
MDMwMDgyOTwvdXJsPjwvcmVsYXRlZC11cmxzPjwvdXJscz48ZWxlY3Ryb25pYy1yZXNvdXJjZS1u
dW0+aHR0cHM6Ly9kb2kub3JnLzEwLjEwMTYvai5qd2VpYS4yMDIwLjEwNDE3MjwvZWxlY3Ryb25p
Yy1yZXNvdXJjZS1udW0+PC9yZWNvcmQ+PC9DaXRlPjxDaXRlPjxBdXRob3I+WmhvdTwvQXV0aG9y
PjxZZWFyPjIwMTg8L1llYXI+PFJlY051bT4yNzQyPC9SZWNOdW0+PHJlY29yZD48cmVjLW51bWJl
cj4yNzQyPC9yZWMtbnVtYmVyPjxmb3JlaWduLWtleXM+PGtleSBhcHA9IkVOIiBkYi1pZD0idHRw
c3BwYXM0YTV3dmZlYTl4cjUyOXN3MjBkNXMycjJmc3NzIiB0aW1lc3RhbXA9IjE3MDA0OTg3OTYi
PjI3NDI8L2tleT48L2ZvcmVpZ24ta2V5cz48cmVmLXR5cGUgbmFtZT0iSm91cm5hbCBBcnRpY2xl
Ij4xNzwvcmVmLXR5cGU+PGNvbnRyaWJ1dG9ycz48YXV0aG9ycz48YXV0aG9yPlpob3UsIFlpPC9h
dXRob3I+PGF1dGhvcj5TdW4sIExpbWluPC9hdXRob3I+PC9hdXRob3JzPjwvY29udHJpYnV0b3Jz
Pjx0aXRsZXM+PHRpdGxlPkVmZmVjdHMgb2YgaGlnaCB3aW5kcyBvbiBhIGxvbmctc3BhbiBzZWEt
Y3Jvc3NpbmcgYnJpZGdlIGJhc2VkIG9uIHN0cnVjdHVyYWwgaGVhbHRoIG1vbml0b3Jpbmc8L3Rp
dGxlPjxzZWNvbmRhcnktdGl0bGU+Sm91cm5hbCBvZiBXaW5kIEVuZ2luZWVyaW5nIGFuZCBJbmR1
c3RyaWFsIEFlcm9keW5hbWljczwvc2Vjb25kYXJ5LXRpdGxlPjwvdGl0bGVzPjxwYWdlcz4yNjAt
MjY4PC9wYWdlcz48dm9sdW1lPjE3NDwvdm9sdW1lPjxrZXl3b3Jkcz48a2V5d29yZD5TZWEtY3Jv
c3NpbmcgYnJpZGdlPC9rZXl3b3JkPjxrZXl3b3JkPldpbmQtaW5kdWNlZCB2aWJyYXRpb248L2tl
eXdvcmQ+PGtleXdvcmQ+TW9kYWwgcGFyYW1ldGVyPC9rZXl3b3JkPjxrZXl3b3JkPkhlYXZ5LWxv
YWQgdHJhZmZpYzwva2V5d29yZD48a2V5d29yZD5TdHJ1Y3R1cmFsIGhlYWx0aCBtb25pdG9yaW5n
IChTSE0pPC9rZXl3b3JkPjwva2V5d29yZHM+PGRhdGVzPjx5ZWFyPjIwMTg8L3llYXI+PHB1Yi1k
YXRlcz48ZGF0ZT4yMDE4LzAzLzAxLzwvZGF0ZT48L3B1Yi1kYXRlcz48L2RhdGVzPjxpc2JuPjAx
NjctNjEwNTwvaXNibj48dXJscz48cmVsYXRlZC11cmxzPjx1cmw+aHR0cHM6Ly93d3cuc2NpZW5j
ZWRpcmVjdC5jb20vc2NpZW5jZS9hcnRpY2xlL3BpaS9TMDE2NzYxMDUxNzMwOTA5MTwvdXJsPjwv
cmVsYXRlZC11cmxzPjwvdXJscz48ZWxlY3Ryb25pYy1yZXNvdXJjZS1udW0+aHR0cHM6Ly9kb2ku
b3JnLzEwLjEwMTYvai5qd2VpYS4yMDE4LjAxLjAwMTwvZWxlY3Ryb25pYy1yZXNvdXJjZS1udW0+
PC9yZWNvcmQ+PC9DaXRlPjwvRW5kTm90ZT4A
</w:fldData>
        </w:fldChar>
      </w:r>
      <w:r>
        <w:instrText xml:space="preserve"> ADDIN EN.CITE.DATA </w:instrText>
      </w:r>
      <w:r>
        <w:fldChar w:fldCharType="end"/>
      </w:r>
      <w:r>
        <w:fldChar w:fldCharType="separate"/>
      </w:r>
      <w:r>
        <w:rPr>
          <w:noProof/>
        </w:rPr>
        <w:t>[1-3]</w:t>
      </w:r>
      <w:r>
        <w:fldChar w:fldCharType="end"/>
      </w:r>
      <w:r>
        <w:t>. Uncontrolled vibrations not only disrupt the static equilibrium and functional performance of cable-supported bridges but also pose significant risks to public safety, especially during extreme weather events. Consequently, measures such as bridge closures, emergency interventions, and precautionary actions are often required to mitigate these risks and ensure the safety and reliability of the structure.</w:t>
      </w:r>
    </w:p>
    <w:p w14:paraId="1731936C" w14:textId="77777777" w:rsidR="00070A00" w:rsidRPr="009700DA" w:rsidRDefault="00070A00" w:rsidP="00070A00">
      <w:r>
        <w:t xml:space="preserve">The implementation of structural health monitoring (SHM) programs through advanced sensing systems plays a crucial role in ensuring the safety, functionality, and longevity of cable-supported bridges. These monitoring technologies provide continuous, real-time assessment of structural performance, which enable early detection of anomalies and changes in bridges before any catastrophic event. In SHM programs, one attempt to capture key structural responses (e.g., acceleration, displacement, strain, etc.) and environmental/operational parameters (e.g., temperature, humidity, wind, traffic, etc.), which bring valuable insights into current conditions of the bridges and their operational modes </w:t>
      </w:r>
      <w:r>
        <w:fldChar w:fldCharType="begin"/>
      </w:r>
      <w:r>
        <w:instrText xml:space="preserve"> ADDIN EN.CITE &lt;EndNote&gt;&lt;Cite&gt;&lt;Author&gt;Fenerci&lt;/Author&gt;&lt;Year&gt;2021&lt;/Year&gt;&lt;RecNum&gt;2589&lt;/RecNum&gt;&lt;DisplayText&gt;[4]&lt;/DisplayText&gt;&lt;record&gt;&lt;rec-number&gt;2589&lt;/rec-number&gt;&lt;foreign-keys&gt;&lt;key app="EN" db-id="ttpsppas4a5wvfea9xr529sw20d5s2r2fsss" timestamp="1686848350"&gt;2589&lt;/key&gt;&lt;/foreign-keys&gt;&lt;ref-type name="Journal Article"&gt;17&lt;/ref-type&gt;&lt;contributors&gt;&lt;authors&gt;&lt;author&gt;Fenerci, Aksel &lt;/author&gt;&lt;author&gt;Kvåle, Knut Andreas &lt;/author&gt;&lt;author&gt;Petersen, Øyvind Wiig &lt;/author&gt;&lt;author&gt;Rønnquist, Anders &lt;/author&gt;&lt;author&gt;Øiseth, Ole &lt;/author&gt;&lt;/authors&gt;&lt;/contributors&gt;&lt;titles&gt;&lt;title&gt;Data set from long-term wind and acceleration monitoring of the Hardanger Bridge&lt;/title&gt;&lt;secondary-title&gt;Journal of Structural Engineering&lt;/secondary-title&gt;&lt;/titles&gt;&lt;periodical&gt;&lt;full-title&gt;Journal of Structural Engineering&lt;/full-title&gt;&lt;abbr-1&gt;J. Struct. Eng.&lt;/abbr-1&gt;&lt;abbr-2&gt;J Struct Eng&lt;/abbr-2&gt;&lt;/periodical&gt;&lt;pages&gt;04721003&lt;/pages&gt;&lt;volume&gt;147&lt;/volume&gt;&lt;number&gt;5&lt;/number&gt;&lt;dates&gt;&lt;year&gt;2021&lt;/year&gt;&lt;/dates&gt;&lt;urls&gt;&lt;related-urls&gt;&lt;url&gt;https://ascelibrary.org/doi/abs/10.1061/%28ASCE%29ST.1943-541X.0002997&lt;/url&gt;&lt;/related-urls&gt;&lt;/urls&gt;&lt;electronic-resource-num&gt;https://doi.org/10.1061/(ASCE)ST.1943-541X.0002997&lt;/electronic-resource-num&gt;&lt;/record&gt;&lt;/Cite&gt;&lt;/EndNote&gt;</w:instrText>
      </w:r>
      <w:r>
        <w:fldChar w:fldCharType="separate"/>
      </w:r>
      <w:r>
        <w:rPr>
          <w:noProof/>
        </w:rPr>
        <w:t>[4]</w:t>
      </w:r>
      <w:r>
        <w:fldChar w:fldCharType="end"/>
      </w:r>
      <w:r>
        <w:t>. These monitoring programs not only enhance traditional inspection strategies but also aid in optimizing bridge management by minimizing unnecessary inspections and reducing costs.</w:t>
      </w:r>
    </w:p>
    <w:p w14:paraId="63F14A02" w14:textId="77777777" w:rsidR="00070A00" w:rsidRDefault="00070A00" w:rsidP="00070A00">
      <w:r>
        <w:t xml:space="preserve">Torsional vibration responses in cable-supported bridges are critical indicators of structural stability and integrity under dynamic loading conditions </w:t>
      </w:r>
      <w:r>
        <w:fldChar w:fldCharType="begin">
          <w:fldData xml:space="preserve">PEVuZE5vdGU+PENpdGU+PEF1dGhvcj5NYWhldXg8L0F1dGhvcj48WWVhcj4yMDIwPC9ZZWFyPjxS
ZWNOdW0+MzI1MzwvUmVjTnVtPjxEaXNwbGF5VGV4dD5bNSw2XTwvRGlzcGxheVRleHQ+PHJlY29y
ZD48cmVjLW51bWJlcj4zMjUzPC9yZWMtbnVtYmVyPjxmb3JlaWduLWtleXM+PGtleSBhcHA9IkVO
IiBkYi1pZD0idHRwc3BwYXM0YTV3dmZlYTl4cjUyOXN3MjBkNXMycjJmc3NzIiB0aW1lc3RhbXA9
IjE3NDcyMzYxNjEiPjMyNTM8L2tleT48L2ZvcmVpZ24ta2V5cz48cmVmLXR5cGUgbmFtZT0iSm91
cm5hbCBBcnRpY2xlIj4xNzwvcmVmLXR5cGU+PGNvbnRyaWJ1dG9ycz48YXV0aG9ycz48YXV0aG9y
Pk1haGV1eCwgU8OpYmFzdGllbjwvYXV0aG9yPjxhdXRob3I+S2luZywgSi4gUGV0ZXIgQy48L2F1
dGhvcj48YXV0aG9yPkVsIERhbWF0dHksIEFzaHJhZjwvYXV0aG9yPjxhdXRob3I+QnJhbmNhbGVv
bmksIEZhYmlvPC9hdXRob3I+PC9hdXRob3JzPjwvY29udHJpYnV0b3JzPjx0aXRsZXM+PHRpdGxl
PkFzc2Vzc21lbnQgb2Ygbm9ubGluZWFyIHN0cnVjdHVyYWwgdmVydGljYWwtdG9yc2lvbmFsIGNv
dXBsaW5nIGluIGNhYmxlLXN1cHBvcnRlZCBicmlkZ2VzPC90aXRsZT48c2Vjb25kYXJ5LXRpdGxl
PkVuZ2luZWVyaW5nIFN0cnVjdHVyZXM8L3NlY29uZGFyeS10aXRsZT48L3RpdGxlcz48cGVyaW9k
aWNhbD48ZnVsbC10aXRsZT5FbmdpbmVlcmluZyBTdHJ1Y3R1cmVzPC9mdWxsLXRpdGxlPjxhYmJy
LTE+RW5nLiBTdHJ1Y3QuPC9hYmJyLTE+PGFiYnItMj5FbmcgU3RydWN0PC9hYmJyLTI+PC9wZXJp
b2RpY2FsPjxwYWdlcz4xMTA4MDA8L3BhZ2VzPjx2b2x1bWU+MjE5PC92b2x1bWU+PGtleXdvcmRz
PjxrZXl3b3JkPkNhYmxlLXN1cHBvcnRlZCBicmlkZ2U8L2tleXdvcmQ+PGtleXdvcmQ+U3VzcGVu
c2lvbiBicmlkZ2U8L2tleXdvcmQ+PGtleXdvcmQ+Q2FibGUtc3RheWVkIGJyaWRnZTwva2V5d29y
ZD48a2V5d29yZD5GaW5pdGUgZWxlbWVudCBhbmFseXNpczwva2V5d29yZD48a2V5d29yZD5Ob25s
aW5lYXIgc3RhdGljIGFuYWx5c2lzPC9rZXl3b3JkPjxrZXl3b3JkPkdlb21ldHJpYyBub25saW5l
YXJpdGllczwva2V5d29yZD48a2V5d29yZD5TdHJ1Y3R1cmFsIGR5bmFtaWNzPC9rZXl3b3JkPjxr
ZXl3b3JkPk1vZGVzIG9mIHZpYnJhdGlvbjwva2V5d29yZD48L2tleXdvcmRzPjxkYXRlcz48eWVh
cj4yMDIwPC95ZWFyPjxwdWItZGF0ZXM+PGRhdGU+MjAyMC8wOS8xNS88L2RhdGU+PC9wdWItZGF0
ZXM+PC9kYXRlcz48aXNibj4wMTQxLTAyOTY8L2lzYm4+PHVybHM+PHJlbGF0ZWQtdXJscz48dXJs
Pmh0dHBzOi8vd3d3LnNjaWVuY2VkaXJlY3QuY29tL3NjaWVuY2UvYXJ0aWNsZS9waWkvUzAxNDEw
Mjk2MTkzNTQ4NTk8L3VybD48L3JlbGF0ZWQtdXJscz48L3VybHM+PGVsZWN0cm9uaWMtcmVzb3Vy
Y2UtbnVtPmh0dHBzOi8vZG9pLm9yZy8xMC4xMDE2L2ouZW5nc3RydWN0LjIwMjAuMTEwODAwPC9l
bGVjdHJvbmljLXJlc291cmNlLW51bT48L3JlY29yZD48L0NpdGU+PENpdGU+PEF1dGhvcj5YaWE8
L0F1dGhvcj48WWVhcj4yMDE0PC9ZZWFyPjxSZWNOdW0+MzI1NDwvUmVjTnVtPjxyZWNvcmQ+PHJl
Yy1udW1iZXI+MzI1NDwvcmVjLW51bWJlcj48Zm9yZWlnbi1rZXlzPjxrZXkgYXBwPSJFTiIgZGIt
aWQ9InR0cHNwcGFzNGE1d3ZmZWE5eHI1MjlzdzIwZDVzMnIyZnNzcyIgdGltZXN0YW1wPSIxNzQ3
MjM2Mjg3Ij4zMjU0PC9rZXk+PC9mb3JlaWduLWtleXM+PHJlZi10eXBlIG5hbWU9IkpvdXJuYWwg
QXJ0aWNsZSI+MTc8L3JlZi10eXBlPjxjb250cmlidXRvcnM+PGF1dGhvcnM+PGF1dGhvcj5YaWEs
IFl1bi1YaWE8L2F1dGhvcj48YXV0aG9yPk5pLCBZaS1RaW5nPC9hdXRob3I+PGF1dGhvcj5aaGFu
ZywgQ2hpPC9hdXRob3I+PC9hdXRob3JzPjwvY29udHJpYnV0b3JzPjx0aXRsZXM+PHRpdGxlPkV2
YWx1YXRpb24gb2YgdG9yc2lvbmFsIHJlc3BvbnNlIG9mIGEgbG9uZy1zcGFuIHN1c3BlbnNpb24g
YnJpZGdlIHVuZGVyIHJhaWx3YXkgdHJhZmZpYyBhbmQgdHlwaG9vbnMgYmFzZWQgb24gU0hNIGRh
dGE8L3RpdGxlPjxzZWNvbmRhcnktdGl0bGU+U3RydWN0dXJhbCBNb25pdG9yaW5nIGFuZCBNYWlu
dGVuYW5jZTwvc2Vjb25kYXJ5LXRpdGxlPjwvdGl0bGVzPjxwZXJpb2RpY2FsPjxmdWxsLXRpdGxl
PlN0cnVjdHVyYWwgbW9uaXRvcmluZyBhbmQgbWFpbnRlbmFuY2U8L2Z1bGwtdGl0bGU+PC9wZXJp
b2RpY2FsPjxwYWdlcz4zNzEtMzkyPC9wYWdlcz48dm9sdW1lPjE8L3ZvbHVtZT48bnVtYmVyPjQ8
L251bWJlcj48ZGF0ZXM+PHllYXI+MjAxNDwveWVhcj48L2RhdGVzPjx1cmxzPjwvdXJscz48ZWxl
Y3Ryb25pYy1yZXNvdXJjZS1udW0+aHR0cDovL2R4LmRvaS5vcmcvMTAuMTI5ODkvc21tLjIwMTQu
MS40LjM3MTwvZWxlY3Ryb25pYy1yZXNvdXJjZS1udW0+PC9yZWNvcmQ+PC9DaXRlPjwvRW5kTm90
ZT4A
</w:fldData>
        </w:fldChar>
      </w:r>
      <w:r>
        <w:instrText xml:space="preserve"> ADDIN EN.CITE </w:instrText>
      </w:r>
      <w:r>
        <w:fldChar w:fldCharType="begin">
          <w:fldData xml:space="preserve">PEVuZE5vdGU+PENpdGU+PEF1dGhvcj5NYWhldXg8L0F1dGhvcj48WWVhcj4yMDIwPC9ZZWFyPjxS
ZWNOdW0+MzI1MzwvUmVjTnVtPjxEaXNwbGF5VGV4dD5bNSw2XTwvRGlzcGxheVRleHQ+PHJlY29y
ZD48cmVjLW51bWJlcj4zMjUzPC9yZWMtbnVtYmVyPjxmb3JlaWduLWtleXM+PGtleSBhcHA9IkVO
IiBkYi1pZD0idHRwc3BwYXM0YTV3dmZlYTl4cjUyOXN3MjBkNXMycjJmc3NzIiB0aW1lc3RhbXA9
IjE3NDcyMzYxNjEiPjMyNTM8L2tleT48L2ZvcmVpZ24ta2V5cz48cmVmLXR5cGUgbmFtZT0iSm91
cm5hbCBBcnRpY2xlIj4xNzwvcmVmLXR5cGU+PGNvbnRyaWJ1dG9ycz48YXV0aG9ycz48YXV0aG9y
Pk1haGV1eCwgU8OpYmFzdGllbjwvYXV0aG9yPjxhdXRob3I+S2luZywgSi4gUGV0ZXIgQy48L2F1
dGhvcj48YXV0aG9yPkVsIERhbWF0dHksIEFzaHJhZjwvYXV0aG9yPjxhdXRob3I+QnJhbmNhbGVv
bmksIEZhYmlvPC9hdXRob3I+PC9hdXRob3JzPjwvY29udHJpYnV0b3JzPjx0aXRsZXM+PHRpdGxl
PkFzc2Vzc21lbnQgb2Ygbm9ubGluZWFyIHN0cnVjdHVyYWwgdmVydGljYWwtdG9yc2lvbmFsIGNv
dXBsaW5nIGluIGNhYmxlLXN1cHBvcnRlZCBicmlkZ2VzPC90aXRsZT48c2Vjb25kYXJ5LXRpdGxl
PkVuZ2luZWVyaW5nIFN0cnVjdHVyZXM8L3NlY29uZGFyeS10aXRsZT48L3RpdGxlcz48cGVyaW9k
aWNhbD48ZnVsbC10aXRsZT5FbmdpbmVlcmluZyBTdHJ1Y3R1cmVzPC9mdWxsLXRpdGxlPjxhYmJy
LTE+RW5nLiBTdHJ1Y3QuPC9hYmJyLTE+PGFiYnItMj5FbmcgU3RydWN0PC9hYmJyLTI+PC9wZXJp
b2RpY2FsPjxwYWdlcz4xMTA4MDA8L3BhZ2VzPjx2b2x1bWU+MjE5PC92b2x1bWU+PGtleXdvcmRz
PjxrZXl3b3JkPkNhYmxlLXN1cHBvcnRlZCBicmlkZ2U8L2tleXdvcmQ+PGtleXdvcmQ+U3VzcGVu
c2lvbiBicmlkZ2U8L2tleXdvcmQ+PGtleXdvcmQ+Q2FibGUtc3RheWVkIGJyaWRnZTwva2V5d29y
ZD48a2V5d29yZD5GaW5pdGUgZWxlbWVudCBhbmFseXNpczwva2V5d29yZD48a2V5d29yZD5Ob25s
aW5lYXIgc3RhdGljIGFuYWx5c2lzPC9rZXl3b3JkPjxrZXl3b3JkPkdlb21ldHJpYyBub25saW5l
YXJpdGllczwva2V5d29yZD48a2V5d29yZD5TdHJ1Y3R1cmFsIGR5bmFtaWNzPC9rZXl3b3JkPjxr
ZXl3b3JkPk1vZGVzIG9mIHZpYnJhdGlvbjwva2V5d29yZD48L2tleXdvcmRzPjxkYXRlcz48eWVh
cj4yMDIwPC95ZWFyPjxwdWItZGF0ZXM+PGRhdGU+MjAyMC8wOS8xNS88L2RhdGU+PC9wdWItZGF0
ZXM+PC9kYXRlcz48aXNibj4wMTQxLTAyOTY8L2lzYm4+PHVybHM+PHJlbGF0ZWQtdXJscz48dXJs
Pmh0dHBzOi8vd3d3LnNjaWVuY2VkaXJlY3QuY29tL3NjaWVuY2UvYXJ0aWNsZS9waWkvUzAxNDEw
Mjk2MTkzNTQ4NTk8L3VybD48L3JlbGF0ZWQtdXJscz48L3VybHM+PGVsZWN0cm9uaWMtcmVzb3Vy
Y2UtbnVtPmh0dHBzOi8vZG9pLm9yZy8xMC4xMDE2L2ouZW5nc3RydWN0LjIwMjAuMTEwODAwPC9l
bGVjdHJvbmljLXJlc291cmNlLW51bT48L3JlY29yZD48L0NpdGU+PENpdGU+PEF1dGhvcj5YaWE8
L0F1dGhvcj48WWVhcj4yMDE0PC9ZZWFyPjxSZWNOdW0+MzI1NDwvUmVjTnVtPjxyZWNvcmQ+PHJl
Yy1udW1iZXI+MzI1NDwvcmVjLW51bWJlcj48Zm9yZWlnbi1rZXlzPjxrZXkgYXBwPSJFTiIgZGIt
aWQ9InR0cHNwcGFzNGE1d3ZmZWE5eHI1MjlzdzIwZDVzMnIyZnNzcyIgdGltZXN0YW1wPSIxNzQ3
MjM2Mjg3Ij4zMjU0PC9rZXk+PC9mb3JlaWduLWtleXM+PHJlZi10eXBlIG5hbWU9IkpvdXJuYWwg
QXJ0aWNsZSI+MTc8L3JlZi10eXBlPjxjb250cmlidXRvcnM+PGF1dGhvcnM+PGF1dGhvcj5YaWEs
IFl1bi1YaWE8L2F1dGhvcj48YXV0aG9yPk5pLCBZaS1RaW5nPC9hdXRob3I+PGF1dGhvcj5aaGFu
ZywgQ2hpPC9hdXRob3I+PC9hdXRob3JzPjwvY29udHJpYnV0b3JzPjx0aXRsZXM+PHRpdGxlPkV2
YWx1YXRpb24gb2YgdG9yc2lvbmFsIHJlc3BvbnNlIG9mIGEgbG9uZy1zcGFuIHN1c3BlbnNpb24g
YnJpZGdlIHVuZGVyIHJhaWx3YXkgdHJhZmZpYyBhbmQgdHlwaG9vbnMgYmFzZWQgb24gU0hNIGRh
dGE8L3RpdGxlPjxzZWNvbmRhcnktdGl0bGU+U3RydWN0dXJhbCBNb25pdG9yaW5nIGFuZCBNYWlu
dGVuYW5jZTwvc2Vjb25kYXJ5LXRpdGxlPjwvdGl0bGVzPjxwZXJpb2RpY2FsPjxmdWxsLXRpdGxl
PlN0cnVjdHVyYWwgbW9uaXRvcmluZyBhbmQgbWFpbnRlbmFuY2U8L2Z1bGwtdGl0bGU+PC9wZXJp
b2RpY2FsPjxwYWdlcz4zNzEtMzkyPC9wYWdlcz48dm9sdW1lPjE8L3ZvbHVtZT48bnVtYmVyPjQ8
L251bWJlcj48ZGF0ZXM+PHllYXI+MjAxNDwveWVhcj48L2RhdGVzPjx1cmxzPjwvdXJscz48ZWxl
Y3Ryb25pYy1yZXNvdXJjZS1udW0+aHR0cDovL2R4LmRvaS5vcmcvMTAuMTI5ODkvc21tLjIwMTQu
MS40LjM3MTwvZWxlY3Ryb25pYy1yZXNvdXJjZS1udW0+PC9yZWNvcmQ+PC9DaXRlPjwvRW5kTm90
ZT4A
</w:fldData>
        </w:fldChar>
      </w:r>
      <w:r>
        <w:instrText xml:space="preserve"> ADDIN EN.CITE.DATA </w:instrText>
      </w:r>
      <w:r>
        <w:fldChar w:fldCharType="end"/>
      </w:r>
      <w:r>
        <w:fldChar w:fldCharType="separate"/>
      </w:r>
      <w:r>
        <w:rPr>
          <w:noProof/>
        </w:rPr>
        <w:t>[5,6]</w:t>
      </w:r>
      <w:r>
        <w:fldChar w:fldCharType="end"/>
      </w:r>
      <w:r>
        <w:t xml:space="preserve">. Unlike vertical and lateral vibrations, which primarily affect the bridge deck and towers, torsional vibrations introduce complex twisting motions that can lead to severe stress concentrations and fatigue in both the main cables and supporting towers </w:t>
      </w:r>
      <w:r>
        <w:fldChar w:fldCharType="begin"/>
      </w:r>
      <w:r>
        <w:instrText xml:space="preserve"> ADDIN EN.CITE &lt;EndNote&gt;&lt;Cite&gt;&lt;Author&gt;Maheux&lt;/Author&gt;&lt;Year&gt;2020&lt;/Year&gt;&lt;RecNum&gt;3253&lt;/RecNum&gt;&lt;DisplayText&gt;[5]&lt;/DisplayText&gt;&lt;record&gt;&lt;rec-number&gt;3253&lt;/rec-number&gt;&lt;foreign-keys&gt;&lt;key app="EN" db-id="ttpsppas4a5wvfea9xr529sw20d5s2r2fsss" timestamp="1747236161"&gt;3253&lt;/key&gt;&lt;/foreign-keys&gt;&lt;ref-type name="Journal Article"&gt;17&lt;/ref-type&gt;&lt;contributors&gt;&lt;authors&gt;&lt;author&gt;Maheux, Sébastien&lt;/author&gt;&lt;author&gt;King, J. Peter C.&lt;/author&gt;&lt;author&gt;El Damatty, Ashraf&lt;/author&gt;&lt;author&gt;Brancaleoni, Fabio&lt;/author&gt;&lt;/authors&gt;&lt;/contributors&gt;&lt;titles&gt;&lt;title&gt;Assessment of nonlinear structural vertical-torsional coupling in cable-supported bridges&lt;/title&gt;&lt;secondary-title&gt;Engineering Structures&lt;/secondary-title&gt;&lt;/titles&gt;&lt;periodical&gt;&lt;full-title&gt;Engineering Structures&lt;/full-title&gt;&lt;abbr-1&gt;Eng. Struct.&lt;/abbr-1&gt;&lt;abbr-2&gt;Eng Struct&lt;/abbr-2&gt;&lt;/periodical&gt;&lt;pages&gt;110800&lt;/pages&gt;&lt;volume&gt;219&lt;/volume&gt;&lt;keywords&gt;&lt;keyword&gt;Cable-supported bridge&lt;/keyword&gt;&lt;keyword&gt;Suspension bridge&lt;/keyword&gt;&lt;keyword&gt;Cable-stayed bridge&lt;/keyword&gt;&lt;keyword&gt;Finite element analysis&lt;/keyword&gt;&lt;keyword&gt;Nonlinear static analysis&lt;/keyword&gt;&lt;keyword&gt;Geometric nonlinearities&lt;/keyword&gt;&lt;keyword&gt;Structural dynamics&lt;/keyword&gt;&lt;keyword&gt;Modes of vibration&lt;/keyword&gt;&lt;/keywords&gt;&lt;dates&gt;&lt;year&gt;2020&lt;/year&gt;&lt;pub-dates&gt;&lt;date&gt;2020/09/15/&lt;/date&gt;&lt;/pub-dates&gt;&lt;/dates&gt;&lt;isbn&gt;0141-0296&lt;/isbn&gt;&lt;urls&gt;&lt;related-urls&gt;&lt;url&gt;https://www.sciencedirect.com/science/article/pii/S0141029619354859&lt;/url&gt;&lt;/related-urls&gt;&lt;/urls&gt;&lt;electronic-resource-num&gt;https://doi.org/10.1016/j.engstruct.2020.110800&lt;/electronic-resource-num&gt;&lt;/record&gt;&lt;/Cite&gt;&lt;/EndNote&gt;</w:instrText>
      </w:r>
      <w:r>
        <w:fldChar w:fldCharType="separate"/>
      </w:r>
      <w:r>
        <w:rPr>
          <w:noProof/>
        </w:rPr>
        <w:t>[5]</w:t>
      </w:r>
      <w:r>
        <w:fldChar w:fldCharType="end"/>
      </w:r>
      <w:r>
        <w:t xml:space="preserve">. These oscillatory movements, often triggered by wind-induced aerodynamic effects such as flutter </w:t>
      </w:r>
      <w:r>
        <w:fldChar w:fldCharType="begin"/>
      </w:r>
      <w:r>
        <w:instrText xml:space="preserve"> ADDIN EN.CITE &lt;EndNote&gt;&lt;Cite&gt;&lt;Author&gt;Tang&lt;/Author&gt;&lt;Year&gt;2023&lt;/Year&gt;&lt;RecNum&gt;2740&lt;/RecNum&gt;&lt;DisplayText&gt;[7]&lt;/DisplayText&gt;&lt;record&gt;&lt;rec-number&gt;2740&lt;/rec-number&gt;&lt;foreign-keys&gt;&lt;key app="EN" db-id="ttpsppas4a5wvfea9xr529sw20d5s2r2fsss" timestamp="1700497083"&gt;2740&lt;/key&gt;&lt;/foreign-keys&gt;&lt;ref-type name="Journal Article"&gt;17&lt;/ref-type&gt;&lt;contributors&gt;&lt;authors&gt;&lt;author&gt;Tang, Haojun&lt;/author&gt;&lt;author&gt;Li, Yongle&lt;/author&gt;&lt;/authors&gt;&lt;/contributors&gt;&lt;titles&gt;&lt;title&gt;Flutter performance of a double-main-span suspension bridge during erection with temporary constraints on girders&lt;/title&gt;&lt;secondary-title&gt;Journal of Wind Engineering and Industrial Aerodynamics&lt;/secondary-title&gt;&lt;/titles&gt;&lt;pages&gt;105508&lt;/pages&gt;&lt;volume&gt;240&lt;/volume&gt;&lt;keywords&gt;&lt;keyword&gt;Double-main-span suspension bridge&lt;/keyword&gt;&lt;keyword&gt;Girder erection&lt;/keyword&gt;&lt;keyword&gt;Flutter performance&lt;/keyword&gt;&lt;keyword&gt;Modal characteristics&lt;/keyword&gt;&lt;keyword&gt;Temporary constraints&lt;/keyword&gt;&lt;/keywords&gt;&lt;dates&gt;&lt;year&gt;2023&lt;/year&gt;&lt;pub-dates&gt;&lt;date&gt;2023/09/01/&lt;/date&gt;&lt;/pub-dates&gt;&lt;/dates&gt;&lt;isbn&gt;0167-6105&lt;/isbn&gt;&lt;urls&gt;&lt;related-urls&gt;&lt;url&gt;https://www.sciencedirect.com/science/article/pii/S0167610523002118&lt;/url&gt;&lt;/related-urls&gt;&lt;/urls&gt;&lt;electronic-resource-num&gt;https://doi.org/10.1016/j.jweia.2023.105508&lt;/electronic-resource-num&gt;&lt;/record&gt;&lt;/Cite&gt;&lt;/EndNote&gt;</w:instrText>
      </w:r>
      <w:r>
        <w:fldChar w:fldCharType="separate"/>
      </w:r>
      <w:r>
        <w:rPr>
          <w:noProof/>
        </w:rPr>
        <w:t>[7]</w:t>
      </w:r>
      <w:r>
        <w:fldChar w:fldCharType="end"/>
      </w:r>
      <w:r>
        <w:t xml:space="preserve"> and vortex shedding </w:t>
      </w:r>
      <w:r>
        <w:fldChar w:fldCharType="begin"/>
      </w:r>
      <w:r>
        <w:instrText xml:space="preserve"> ADDIN EN.CITE &lt;EndNote&gt;&lt;Cite&gt;&lt;Author&gt;Ge&lt;/Author&gt;&lt;Year&gt;2022&lt;/Year&gt;&lt;RecNum&gt;2752&lt;/RecNum&gt;&lt;DisplayText&gt;[8]&lt;/DisplayText&gt;&lt;record&gt;&lt;rec-number&gt;2752&lt;/rec-number&gt;&lt;foreign-keys&gt;&lt;key app="EN" db-id="ttpsppas4a5wvfea9xr529sw20d5s2r2fsss" timestamp="1701020842"&gt;2752&lt;/key&gt;&lt;/foreign-keys&gt;&lt;ref-type name="Journal Article"&gt;17&lt;/ref-type&gt;&lt;contributors&gt;&lt;authors&gt;&lt;author&gt;Ge, Yaojun&lt;/author&gt;&lt;author&gt;Zhao, Lin&lt;/author&gt;&lt;author&gt;Cao, Jinxin&lt;/author&gt;&lt;/authors&gt;&lt;/contributors&gt;&lt;titles&gt;&lt;title&gt;Case study of vortex-induced vibration and mitigation mechanism for a long-span suspension bridge&lt;/title&gt;&lt;secondary-title&gt;Journal of Wind Engineering and Industrial Aerodynamics&lt;/secondary-title&gt;&lt;/titles&gt;&lt;pages&gt;104866&lt;/pages&gt;&lt;volume&gt;220&lt;/volume&gt;&lt;keywords&gt;&lt;keyword&gt;Suspension bridge&lt;/keyword&gt;&lt;keyword&gt;Vortex-induced vibration&lt;/keyword&gt;&lt;keyword&gt;Vibration control&lt;/keyword&gt;&lt;keyword&gt;Field measurement&lt;/keyword&gt;&lt;keyword&gt;Wind tunnel test&lt;/keyword&gt;&lt;keyword&gt;Mitigation mechanism&lt;/keyword&gt;&lt;/keywords&gt;&lt;dates&gt;&lt;year&gt;2022&lt;/year&gt;&lt;pub-dates&gt;&lt;date&gt;2022/01/01/&lt;/date&gt;&lt;/pub-dates&gt;&lt;/dates&gt;&lt;isbn&gt;0167-6105&lt;/isbn&gt;&lt;urls&gt;&lt;related-urls&gt;&lt;url&gt;https://www.sciencedirect.com/science/article/pii/S0167610521003391&lt;/url&gt;&lt;/related-urls&gt;&lt;/urls&gt;&lt;electronic-resource-num&gt;https://doi.org/10.1016/j.jweia.2021.104866&lt;/electronic-resource-num&gt;&lt;/record&gt;&lt;/Cite&gt;&lt;/EndNote&gt;</w:instrText>
      </w:r>
      <w:r>
        <w:fldChar w:fldCharType="separate"/>
      </w:r>
      <w:r>
        <w:rPr>
          <w:noProof/>
        </w:rPr>
        <w:t>[8]</w:t>
      </w:r>
      <w:r>
        <w:fldChar w:fldCharType="end"/>
      </w:r>
      <w:r>
        <w:t xml:space="preserve">, can amplify structural displacements, disrupt load distribution, and compromise the bridge overall performance. Notably, historical events such as the collapse of the Tacoma Narrows Bridge in 1940 underscore the devastating consequences of uncontrolled torsional vibrations </w:t>
      </w:r>
      <w:r>
        <w:fldChar w:fldCharType="begin"/>
      </w:r>
      <w:r>
        <w:instrText xml:space="preserve"> ADDIN EN.CITE &lt;EndNote&gt;&lt;Cite&gt;&lt;Author&gt;Song&lt;/Author&gt;&lt;Year&gt;2022&lt;/Year&gt;&lt;RecNum&gt;3256&lt;/RecNum&gt;&lt;DisplayText&gt;[9]&lt;/DisplayText&gt;&lt;record&gt;&lt;rec-number&gt;3256&lt;/rec-number&gt;&lt;foreign-keys&gt;&lt;key app="EN" db-id="ttpsppas4a5wvfea9xr529sw20d5s2r2fsss" timestamp="1747236929"&gt;3256&lt;/key&gt;&lt;/foreign-keys&gt;&lt;ref-type name="Journal Article"&gt;17&lt;/ref-type&gt;&lt;contributors&gt;&lt;authors&gt;&lt;author&gt;Song, Daeun&lt;/author&gt;&lt;author&gt;Kim, Woojin&lt;/author&gt;&lt;author&gt;Kwon, Oh-Kyoung&lt;/author&gt;&lt;author&gt;Choi, Haecheon&lt;/author&gt;&lt;/authors&gt;&lt;/contributors&gt;&lt;titles&gt;&lt;title&gt;Vertical and torsional vibrations before the collapse of the Tacoma Narrows Bridge in 1940&lt;/title&gt;&lt;secondary-title&gt;Journal of Fluid Mechanics&lt;/secondary-title&gt;&lt;/titles&gt;&lt;periodical&gt;&lt;full-title&gt;Journal of Fluid Mechanics&lt;/full-title&gt;&lt;abbr-1&gt;J. Fluid Mech.&lt;/abbr-1&gt;&lt;abbr-2&gt;J Fluid Mech&lt;/abbr-2&gt;&lt;/periodical&gt;&lt;pages&gt;A11&lt;/pages&gt;&lt;volume&gt;949&lt;/volume&gt;&lt;edition&gt;2022/09/23&lt;/edition&gt;&lt;dates&gt;&lt;year&gt;2022&lt;/year&gt;&lt;/dates&gt;&lt;publisher&gt;Cambridge University Press&lt;/publisher&gt;&lt;isbn&gt;0022-1120&lt;/isbn&gt;&lt;urls&gt;&lt;related-urls&gt;&lt;url&gt;https://www.cambridge.org/core/product/C2CFEF100A9D081515C09310070BEEEB&lt;/url&gt;&lt;/related-urls&gt;&lt;/urls&gt;&lt;custom7&gt;A11&lt;/custom7&gt;&lt;electronic-resource-num&gt;https://doi.org/10.1017/jfm.2022.748&lt;/electronic-resource-num&gt;&lt;remote-database-name&gt;Cambridge Core&lt;/remote-database-name&gt;&lt;remote-database-provider&gt;Cambridge University Press&lt;/remote-database-provider&gt;&lt;/record&gt;&lt;/Cite&gt;&lt;/EndNote&gt;</w:instrText>
      </w:r>
      <w:r>
        <w:fldChar w:fldCharType="separate"/>
      </w:r>
      <w:r>
        <w:rPr>
          <w:noProof/>
        </w:rPr>
        <w:t>[9]</w:t>
      </w:r>
      <w:r>
        <w:fldChar w:fldCharType="end"/>
      </w:r>
      <w:r>
        <w:t>. In modern engineering practice, understanding and controlling these responses are vital for preventing resonance conditions that can magnify vibrations exponentially.</w:t>
      </w:r>
    </w:p>
    <w:p w14:paraId="3AB11C46" w14:textId="77777777" w:rsidR="00070A00" w:rsidRDefault="00070A00" w:rsidP="00070A00">
      <w:r>
        <w:t xml:space="preserve">While the installation of SHM systems in cable-supported bridges to record structural responses and environmental/operational factors is highly beneficial for understanding bridge dynamic behavior and analyzing torsional vibration responses, several limitations hinder their effectiveness in comprehensive monitoring. In this regard, the deployment of a dense network of sensors across vast bridge spans, while applicable and existing, is often cost-prohibitive and logistically challenging, particularly in hard-to-reach areas such as main cables and towers. Furthermore, the durability and maintenance of these sensors are major concerns, as exposure to extreme weather conditions and mechanical strain can lead to signal loss or sensor failure over time. Even with optimal sensor placement, SHM systems are inherently limited by spatial resolution, in which case those may provide discrete point-based measurements that may miss localized deformations or critical vibration modes. Machine learning-aided data prediction frameworks can address these limitations by leveraging historical SHM data and environmental inputs to model the dynamic responses of cable-supported bridges with high accuracy and temporal resolution. Supervised regressors make predictive models for predicting structural responses across civil structures under different scenarios or even </w:t>
      </w:r>
      <w:r>
        <w:lastRenderedPageBreak/>
        <w:t xml:space="preserve">future anticipation. Depending on the type and size of structural responses, the type and configuration of civil structures, and the type of excitation loads, various supervised regressors have been developed to predict structural responses of different civil structures. These responses included bridge deformations </w:t>
      </w:r>
      <w:r>
        <w:fldChar w:fldCharType="begin">
          <w:fldData xml:space="preserve">PEVuZE5vdGU+PENpdGU+PEF1dGhvcj5FbnRlemFtaTwvQXV0aG9yPjxZZWFyPjIwMjU8L1llYXI+
PFJlY051bT4zMTQ2PC9SZWNOdW0+PERpc3BsYXlUZXh0PlsxMCwxMV08L0Rpc3BsYXlUZXh0Pjxy
ZWNvcmQ+PHJlYy1udW1iZXI+MzE0NjwvcmVjLW51bWJlcj48Zm9yZWlnbi1rZXlzPjxrZXkgYXBw
PSJFTiIgZGItaWQ9InR0cHNwcGFzNGE1d3ZmZWE5eHI1MjlzdzIwZDVzMnIyZnNzcyIgdGltZXN0
YW1wPSIxNzM4NDE2MTQ1Ij4zMTQ2PC9rZXk+PC9mb3JlaWduLWtleXM+PHJlZi10eXBlIG5hbWU9
IkpvdXJuYWwgQXJ0aWNsZSI+MTc8L3JlZi10eXBlPjxjb250cmlidXRvcnM+PGF1dGhvcnM+PGF1
dGhvcj5FbnRlemFtaSwgQWxpcmV6YTwvYXV0aG9yPjxhdXRob3I+QmVoa2FtYWwsIEJhaGFyZWg8
L2F1dGhvcj48YXV0aG9yPkRlIE1pY2hlbGUsIENhcmxvPC9hdXRob3I+PGF1dGhvcj5NYXJpYW5p
LCBTdGVmYW5vPC9hdXRob3I+PC9hdXRob3JzPjwvY29udHJpYnV0b3JzPjx0aXRsZXM+PHRpdGxl
PkEga2VybmVsaXplZCBkZWVwIHJlZ3Jlc3Npb24gbWV0aG9kIHRvIHNpbXVsdGFuZW91c2x5IHBy
ZWRpY3QgYW5kIG5vcm1hbGl6ZSBkaXNwbGFjZW1lbnQgcmVzcG9uc2VzIG9mIGxvbmctc3BhbiBi
cmlkZ2VzIHZpYSBsaW1pdGVkIHN5bnRoZXRpYyBhcGVydHVyZSByYWRhciBpbWFnZXM8L3RpdGxl
PjxzZWNvbmRhcnktdGl0bGU+U3RydWN0dXJhbCBIZWFsdGggTW9uaXRvcmluZzwvc2Vjb25kYXJ5
LXRpdGxlPjwvdGl0bGVzPjxwZXJpb2RpY2FsPjxmdWxsLXRpdGxlPlN0cnVjdHVyYWwgSGVhbHRo
IE1vbml0b3Jpbmc8L2Z1bGwtdGl0bGU+PGFiYnItMT5TdHJ1Y3QuIEhlYWx0aCBNb25pdC48L2Fi
YnItMT48YWJici0yPlN0cnVjdCBIZWFsdGggTW9uaXQ8L2FiYnItMj48L3BlcmlvZGljYWw+PHZv
bHVtZT5JbiBQcmVzczwvdm9sdW1lPjxkYXRlcz48eWVhcj4yMDI1PC95ZWFyPjwvZGF0ZXM+PHB1
Ymxpc2hlcj5TQUdFIFB1YmxpY2F0aW9uczwvcHVibGlzaGVyPjxpc2JuPjE0NzUtOTIxNzwvaXNi
bj48dXJscz48cmVsYXRlZC11cmxzPjx1cmw+aHR0cHM6Ly9kb2kub3JnLzEwLjExNzcvMTQ3NTky
MTcyNDEzMDkwNzU8L3VybD48L3JlbGF0ZWQtdXJscz48L3VybHM+PGVsZWN0cm9uaWMtcmVzb3Vy
Y2UtbnVtPmh0dHBzOi8vZG9pLm9yZy8xMC4xMTc3LzE0NzU5MjE3MjQxMzA5MDc1PC9lbGVjdHJv
bmljLXJlc291cmNlLW51bT48YWNjZXNzLWRhdGU+MjAyNS8wMi8wMTwvYWNjZXNzLWRhdGU+PC9y
ZWNvcmQ+PC9DaXRlPjxDaXRlPjxBdXRob3I+RW50ZXphbWk8L0F1dGhvcj48WWVhcj4yMDI1PC9Z
ZWFyPjxSZWNOdW0+MzEzNTwvUmVjTnVtPjxyZWNvcmQ+PHJlYy1udW1iZXI+MzEzNTwvcmVjLW51
bWJlcj48Zm9yZWlnbi1rZXlzPjxrZXkgYXBwPSJFTiIgZGItaWQ9InR0cHNwcGFzNGE1d3ZmZWE5
eHI1MjlzdzIwZDVzMnIyZnNzcyIgdGltZXN0YW1wPSIxNzM2MDg4NTU5Ij4zMTM1PC9rZXk+PC9m
b3JlaWduLWtleXM+PHJlZi10eXBlIG5hbWU9IkpvdXJuYWwgQXJ0aWNsZSI+MTc8L3JlZi10eXBl
Pjxjb250cmlidXRvcnM+PGF1dGhvcnM+PGF1dGhvcj5FbnRlemFtaSwgQWxpcmV6YTwvYXV0aG9y
PjxhdXRob3I+QmVoa2FtYWwsIEJhaGFyZWg8L2F1dGhvcj48YXV0aG9yPkRlIE1pY2hlbGUsIENh
cmxvPC9hdXRob3I+PGF1dGhvcj5NYXJpYW5pLCBTdGVmYW5vPC9hdXRob3I+PC9hdXRob3JzPjwv
Y29udHJpYnV0b3JzPjx0aXRsZXM+PHRpdGxlPkRpc3BsYWNlbWVudCBwcmVkaWN0aW9uIGZvciBs
b25nLXNwYW4gYnJpZGdlcyB2aWEgbGltaXRlZCByZW1vdGUgc2Vuc2luZyBpbWFnZXM6IEFuIGFk
YXB0aXZlIGVuc2VtYmxlIHJlZ3Jlc3Npb24gbWV0aG9kPC90aXRsZT48c2Vjb25kYXJ5LXRpdGxl
Pk1lYXN1cmVtZW50PC9zZWNvbmRhcnktdGl0bGU+PC90aXRsZXM+PHBlcmlvZGljYWw+PGZ1bGwt
dGl0bGU+TWVhc3VyZW1lbnQ8L2Z1bGwtdGl0bGU+PGFiYnItMT5NZWFzLjwvYWJici0xPjxhYmJy
LTI+TWVhczwvYWJici0yPjwvcGVyaW9kaWNhbD48cGFnZXM+MTE2NTY3PC9wYWdlcz48dm9sdW1l
PjI0NTwvdm9sdW1lPjxrZXl3b3Jkcz48a2V5d29yZD5SZW1vdGUgc2Vuc2luZzwva2V5d29yZD48
a2V5d29yZD5TeW50aGV0aWMgYXBlcnR1cmUgcmFkYXIgaW1hZ2U8L2tleXdvcmQ+PGtleXdvcmQ+
UHJlZGljdGlvbjwva2V5d29yZD48a2V5d29yZD5Ob3JtYWxpemF0aW9uPC9rZXl3b3JkPjxrZXl3
b3JkPlNtYWxsIGRhdGE8L2tleXdvcmQ+PGtleXdvcmQ+UmVncmVzc2lvbjwva2V5d29yZD48a2V5
d29yZD5NYWNoaW5lIGxlYXJuaW5nPC9rZXl3b3JkPjwva2V5d29yZHM+PGRhdGVzPjx5ZWFyPjIw
MjU8L3llYXI+PHB1Yi1kYXRlcz48ZGF0ZT4yMDI1LzAzLzE1LzwvZGF0ZT48L3B1Yi1kYXRlcz48
L2RhdGVzPjxpc2JuPjAyNjMtMjI0MTwvaXNibj48dXJscz48cmVsYXRlZC11cmxzPjx1cmw+aHR0
cHM6Ly93d3cuc2NpZW5jZWRpcmVjdC5jb20vc2NpZW5jZS9hcnRpY2xlL3BpaS9TMDI2MzIyNDEy
NDAyNDUyNzwvdXJsPjwvcmVsYXRlZC11cmxzPjwvdXJscz48ZWxlY3Ryb25pYy1yZXNvdXJjZS1u
dW0+aHR0cHM6Ly9kb2kub3JnLzEwLjEwMTYvai5tZWFzdXJlbWVudC4yMDI0LjExNjU2NzwvZWxl
Y3Ryb25pYy1yZXNvdXJjZS1udW0+PC9yZWNvcmQ+PC9DaXRlPjwvRW5kTm90ZT4A
</w:fldData>
        </w:fldChar>
      </w:r>
      <w:r>
        <w:instrText xml:space="preserve"> ADDIN EN.CITE </w:instrText>
      </w:r>
      <w:r>
        <w:fldChar w:fldCharType="begin">
          <w:fldData xml:space="preserve">PEVuZE5vdGU+PENpdGU+PEF1dGhvcj5FbnRlemFtaTwvQXV0aG9yPjxZZWFyPjIwMjU8L1llYXI+
PFJlY051bT4zMTQ2PC9SZWNOdW0+PERpc3BsYXlUZXh0PlsxMCwxMV08L0Rpc3BsYXlUZXh0Pjxy
ZWNvcmQ+PHJlYy1udW1iZXI+MzE0NjwvcmVjLW51bWJlcj48Zm9yZWlnbi1rZXlzPjxrZXkgYXBw
PSJFTiIgZGItaWQ9InR0cHNwcGFzNGE1d3ZmZWE5eHI1MjlzdzIwZDVzMnIyZnNzcyIgdGltZXN0
YW1wPSIxNzM4NDE2MTQ1Ij4zMTQ2PC9rZXk+PC9mb3JlaWduLWtleXM+PHJlZi10eXBlIG5hbWU9
IkpvdXJuYWwgQXJ0aWNsZSI+MTc8L3JlZi10eXBlPjxjb250cmlidXRvcnM+PGF1dGhvcnM+PGF1
dGhvcj5FbnRlemFtaSwgQWxpcmV6YTwvYXV0aG9yPjxhdXRob3I+QmVoa2FtYWwsIEJhaGFyZWg8
L2F1dGhvcj48YXV0aG9yPkRlIE1pY2hlbGUsIENhcmxvPC9hdXRob3I+PGF1dGhvcj5NYXJpYW5p
LCBTdGVmYW5vPC9hdXRob3I+PC9hdXRob3JzPjwvY29udHJpYnV0b3JzPjx0aXRsZXM+PHRpdGxl
PkEga2VybmVsaXplZCBkZWVwIHJlZ3Jlc3Npb24gbWV0aG9kIHRvIHNpbXVsdGFuZW91c2x5IHBy
ZWRpY3QgYW5kIG5vcm1hbGl6ZSBkaXNwbGFjZW1lbnQgcmVzcG9uc2VzIG9mIGxvbmctc3BhbiBi
cmlkZ2VzIHZpYSBsaW1pdGVkIHN5bnRoZXRpYyBhcGVydHVyZSByYWRhciBpbWFnZXM8L3RpdGxl
PjxzZWNvbmRhcnktdGl0bGU+U3RydWN0dXJhbCBIZWFsdGggTW9uaXRvcmluZzwvc2Vjb25kYXJ5
LXRpdGxlPjwvdGl0bGVzPjxwZXJpb2RpY2FsPjxmdWxsLXRpdGxlPlN0cnVjdHVyYWwgSGVhbHRo
IE1vbml0b3Jpbmc8L2Z1bGwtdGl0bGU+PGFiYnItMT5TdHJ1Y3QuIEhlYWx0aCBNb25pdC48L2Fi
YnItMT48YWJici0yPlN0cnVjdCBIZWFsdGggTW9uaXQ8L2FiYnItMj48L3BlcmlvZGljYWw+PHZv
bHVtZT5JbiBQcmVzczwvdm9sdW1lPjxkYXRlcz48eWVhcj4yMDI1PC95ZWFyPjwvZGF0ZXM+PHB1
Ymxpc2hlcj5TQUdFIFB1YmxpY2F0aW9uczwvcHVibGlzaGVyPjxpc2JuPjE0NzUtOTIxNzwvaXNi
bj48dXJscz48cmVsYXRlZC11cmxzPjx1cmw+aHR0cHM6Ly9kb2kub3JnLzEwLjExNzcvMTQ3NTky
MTcyNDEzMDkwNzU8L3VybD48L3JlbGF0ZWQtdXJscz48L3VybHM+PGVsZWN0cm9uaWMtcmVzb3Vy
Y2UtbnVtPmh0dHBzOi8vZG9pLm9yZy8xMC4xMTc3LzE0NzU5MjE3MjQxMzA5MDc1PC9lbGVjdHJv
bmljLXJlc291cmNlLW51bT48YWNjZXNzLWRhdGU+MjAyNS8wMi8wMTwvYWNjZXNzLWRhdGU+PC9y
ZWNvcmQ+PC9DaXRlPjxDaXRlPjxBdXRob3I+RW50ZXphbWk8L0F1dGhvcj48WWVhcj4yMDI1PC9Z
ZWFyPjxSZWNOdW0+MzEzNTwvUmVjTnVtPjxyZWNvcmQ+PHJlYy1udW1iZXI+MzEzNTwvcmVjLW51
bWJlcj48Zm9yZWlnbi1rZXlzPjxrZXkgYXBwPSJFTiIgZGItaWQ9InR0cHNwcGFzNGE1d3ZmZWE5
eHI1MjlzdzIwZDVzMnIyZnNzcyIgdGltZXN0YW1wPSIxNzM2MDg4NTU5Ij4zMTM1PC9rZXk+PC9m
b3JlaWduLWtleXM+PHJlZi10eXBlIG5hbWU9IkpvdXJuYWwgQXJ0aWNsZSI+MTc8L3JlZi10eXBl
Pjxjb250cmlidXRvcnM+PGF1dGhvcnM+PGF1dGhvcj5FbnRlemFtaSwgQWxpcmV6YTwvYXV0aG9y
PjxhdXRob3I+QmVoa2FtYWwsIEJhaGFyZWg8L2F1dGhvcj48YXV0aG9yPkRlIE1pY2hlbGUsIENh
cmxvPC9hdXRob3I+PGF1dGhvcj5NYXJpYW5pLCBTdGVmYW5vPC9hdXRob3I+PC9hdXRob3JzPjwv
Y29udHJpYnV0b3JzPjx0aXRsZXM+PHRpdGxlPkRpc3BsYWNlbWVudCBwcmVkaWN0aW9uIGZvciBs
b25nLXNwYW4gYnJpZGdlcyB2aWEgbGltaXRlZCByZW1vdGUgc2Vuc2luZyBpbWFnZXM6IEFuIGFk
YXB0aXZlIGVuc2VtYmxlIHJlZ3Jlc3Npb24gbWV0aG9kPC90aXRsZT48c2Vjb25kYXJ5LXRpdGxl
Pk1lYXN1cmVtZW50PC9zZWNvbmRhcnktdGl0bGU+PC90aXRsZXM+PHBlcmlvZGljYWw+PGZ1bGwt
dGl0bGU+TWVhc3VyZW1lbnQ8L2Z1bGwtdGl0bGU+PGFiYnItMT5NZWFzLjwvYWJici0xPjxhYmJy
LTI+TWVhczwvYWJici0yPjwvcGVyaW9kaWNhbD48cGFnZXM+MTE2NTY3PC9wYWdlcz48dm9sdW1l
PjI0NTwvdm9sdW1lPjxrZXl3b3Jkcz48a2V5d29yZD5SZW1vdGUgc2Vuc2luZzwva2V5d29yZD48
a2V5d29yZD5TeW50aGV0aWMgYXBlcnR1cmUgcmFkYXIgaW1hZ2U8L2tleXdvcmQ+PGtleXdvcmQ+
UHJlZGljdGlvbjwva2V5d29yZD48a2V5d29yZD5Ob3JtYWxpemF0aW9uPC9rZXl3b3JkPjxrZXl3
b3JkPlNtYWxsIGRhdGE8L2tleXdvcmQ+PGtleXdvcmQ+UmVncmVzc2lvbjwva2V5d29yZD48a2V5
d29yZD5NYWNoaW5lIGxlYXJuaW5nPC9rZXl3b3JkPjwva2V5d29yZHM+PGRhdGVzPjx5ZWFyPjIw
MjU8L3llYXI+PHB1Yi1kYXRlcz48ZGF0ZT4yMDI1LzAzLzE1LzwvZGF0ZT48L3B1Yi1kYXRlcz48
L2RhdGVzPjxpc2JuPjAyNjMtMjI0MTwvaXNibj48dXJscz48cmVsYXRlZC11cmxzPjx1cmw+aHR0
cHM6Ly93d3cuc2NpZW5jZWRpcmVjdC5jb20vc2NpZW5jZS9hcnRpY2xlL3BpaS9TMDI2MzIyNDEy
NDAyNDUyNzwvdXJsPjwvcmVsYXRlZC11cmxzPjwvdXJscz48ZWxlY3Ryb25pYy1yZXNvdXJjZS1u
dW0+aHR0cHM6Ly9kb2kub3JnLzEwLjEwMTYvai5tZWFzdXJlbWVudC4yMDI0LjExNjU2NzwvZWxl
Y3Ryb25pYy1yZXNvdXJjZS1udW0+PC9yZWNvcmQ+PC9DaXRlPjwvRW5kTm90ZT4A
</w:fldData>
        </w:fldChar>
      </w:r>
      <w:r>
        <w:instrText xml:space="preserve"> ADDIN EN.CITE.DATA </w:instrText>
      </w:r>
      <w:r>
        <w:fldChar w:fldCharType="end"/>
      </w:r>
      <w:r>
        <w:fldChar w:fldCharType="separate"/>
      </w:r>
      <w:r>
        <w:rPr>
          <w:noProof/>
        </w:rPr>
        <w:t>[10,11]</w:t>
      </w:r>
      <w:r>
        <w:fldChar w:fldCharType="end"/>
      </w:r>
      <w:r>
        <w:t xml:space="preserve">, building modal frequencies </w:t>
      </w:r>
      <w:r>
        <w:fldChar w:fldCharType="begin">
          <w:fldData xml:space="preserve">PEVuZE5vdGU+PENpdGU+PEF1dGhvcj5TYXJtYWRpPC9BdXRob3I+PFllYXI+MjAyNDwvWWVhcj48
UmVjTnVtPjI4NDk8L1JlY051bT48RGlzcGxheVRleHQ+WzEyLDEzXTwvRGlzcGxheVRleHQ+PHJl
Y29yZD48cmVjLW51bWJlcj4yODQ5PC9yZWMtbnVtYmVyPjxmb3JlaWduLWtleXM+PGtleSBhcHA9
IkVOIiBkYi1pZD0idHRwc3BwYXM0YTV3dmZlYTl4cjUyOXN3MjBkNXMycjJmc3NzIiB0aW1lc3Rh
bXA9IjE3MDg3ODIzNzYiPjI4NDk8L2tleT48L2ZvcmVpZ24ta2V5cz48cmVmLXR5cGUgbmFtZT0i
Qm9vayBTZWN0aW9uIj41PC9yZWYtdHlwZT48Y29udHJpYnV0b3JzPjxhdXRob3JzPjxhdXRob3I+
U2FybWFkaSwgSGFzc2FuPC9hdXRob3I+PGF1dGhvcj5CZWhrYW1hbCwgQmFoYXJlaDwvYXV0aG9y
PjxhdXRob3I+RW50ZXphbWksIEFsaXJlemE8L2F1dGhvcj48L2F1dGhvcnM+PHNlY29uZGFyeS1h
dXRob3JzPjxhdXRob3I+TmVoZGksIE1vbmNlZiBMLjwvYXV0aG9yPjxhdXRob3I+QXJvcmEsIEhh
cmlzaCBDaGFuZHJhPC9hdXRob3I+PGF1dGhvcj5LdW1hciwgS3Jpc2huYTwvYXV0aG9yPjxhdXRo
b3I+PHN0eWxlIGZhY2U9Im5vcm1hbCIgZm9udD0iZGVmYXVsdCIgc2l6ZT0iMTAwJSI+RGFtYTwv
c3R5bGU+PHN0eWxlIGZhY2U9Im5vcm1hbCIgZm9udD0iZGVmYXVsdCIgY2hhcnNldD0iMjM4IiBz
aXplPSIxMDAlIj7FoWV2acSNaXVzLCBSb2JlcnRhczwvc3R5bGU+PC9hdXRob3I+PGF1dGhvcj48
c3R5bGUgZmFjZT0ibm9ybWFsIiBmb250PSJkZWZhdWx0IiBjaGFyc2V0PSIyMzgiIHNpemU9IjEw
MCUiPkt1bWFyLCBBbWFuPC9zdHlsZT48L2F1dGhvcj48L3NlY29uZGFyeS1hdXRob3JzPjwvY29u
dHJpYnV0b3JzPjx0aXRsZXM+PHRpdGxlPlByZWRpY3Rpb24gb2YgbG9uZy10ZXJtIGR5bmFtaWMg
cmVzcG9uc2VzIG9mIGEgaGVyaXRhZ2UgbWFzb25yeSBidWlsZGluZyB1bmRlciB0aGVybWFsIGVm
ZmVjdHMgYnkgYXV0b21hdGVkIGtlcm5lbC1iYXNlZCByZWdyZXNzaW9uIG1vZGVsaW5nPC90aXRs
ZT48c2Vjb25kYXJ5LXRpdGxlPkFydGlmaWNpYWwgSW50ZWxsaWdlbmNlIEFwcGxpY2F0aW9ucyBm
b3IgU3VzdGFpbmFibGUgQ29uc3RydWN0aW9uPC9zZWNvbmRhcnktdGl0bGU+PC90aXRsZXM+PHBh
Z2VzPjI1Ny0yODM8L3BhZ2VzPjxrZXl3b3Jkcz48a2V5d29yZD5CYXllc2lhbiBoeXBlcnBhcmFt
ZXRlciBvcHRpbWl6YXRpb248L2tleXdvcmQ+PGtleXdvcmQ+S2VybmVsIGxlYXJuaW5nPC9rZXl3
b3JkPjxrZXl3b3JkPkxvbmctdGVybSBtb25pdG9yaW5nPC9rZXl3b3JkPjxrZXl3b3JkPk1hc29u
cnkgc3RydWN0dXJlPC9rZXl3b3JkPjxrZXl3b3JkPk1vZGFsIGZyZXF1ZW5jeTwva2V5d29yZD48
a2V5d29yZD5QcmVkaWN0aW9uPC9rZXl3b3JkPjxrZXl3b3JkPlJlZ3Jlc3Npb248L2tleXdvcmQ+
PGtleXdvcmQ+U3VwZXJ2aXNlZCBsZWFybmluZzwva2V5d29yZD48a2V5d29yZD5UZW1wZXJhdHVy
ZTwva2V5d29yZD48L2tleXdvcmRzPjxkYXRlcz48eWVhcj4yMDI0PC95ZWFyPjxwdWItZGF0ZXM+
PGRhdGU+MjAyNC8wMS8wMS88L2RhdGU+PC9wdWItZGF0ZXM+PC9kYXRlcz48cHVibGlzaGVyPldv
b2RoZWFkIFB1Ymxpc2hpbmc8L3B1Ymxpc2hlcj48aXNibj45NzgtMC00NDMtMTMxOTEtMjwvaXNi
bj48dXJscz48cmVsYXRlZC11cmxzPjx1cmw+aHR0cHM6Ly93d3cuc2NpZW5jZWRpcmVjdC5jb20v
c2NpZW5jZS9hcnRpY2xlL3BpaS9COTc4MDQ0MzEzMTkxMjAwMDEwOTwvdXJsPjwvcmVsYXRlZC11
cmxzPjwvdXJscz48ZWxlY3Ryb25pYy1yZXNvdXJjZS1udW0+aHR0cHM6Ly9kb2kub3JnLzEwLjEw
MTYvQjk3OC0wLTQ0My0xMzE5MS0yLjAwMDEwLTk8L2VsZWN0cm9uaWMtcmVzb3VyY2UtbnVtPjwv
cmVjb3JkPjwvQ2l0ZT48Q2l0ZT48QXV0aG9yPk1hbmlrYW5kYW48L0F1dGhvcj48WWVhcj4yMDI0
PC9ZZWFyPjxSZWNOdW0+MzE1MTwvUmVjTnVtPjxyZWNvcmQ+PHJlYy1udW1iZXI+MzE1MTwvcmVj
LW51bWJlcj48Zm9yZWlnbi1rZXlzPjxrZXkgYXBwPSJFTiIgZGItaWQ9InR0cHNwcGFzNGE1d3Zm
ZWE5eHI1MjlzdzIwZDVzMnIyZnNzcyIgdGltZXN0YW1wPSIxNzM4NDgxMDA3Ij4zMTUxPC9rZXk+
PC9mb3JlaWduLWtleXM+PHJlZi10eXBlIG5hbWU9IkpvdXJuYWwgQXJ0aWNsZSI+MTc8L3JlZi10
eXBlPjxjb250cmlidXRvcnM+PGF1dGhvcnM+PGF1dGhvcj5NYW5pa2FuZGFuLCBLLjwvYXV0aG9y
PjxhdXRob3I+TmlkaGksIE0uPC9hdXRob3I+PGF1dGhvcj5NaWNlbGxpLCBGcmFuY2VzY288L2F1
dGhvcj48YXV0aG9yPkNhc2NhcmRpLCBBbGVzc2lvPC9hdXRob3I+PGF1dGhvcj5TaXZhc3VicmFt
YW5pYW4sIE1hZGFwcGEgVi4gUi48L2F1dGhvcj48L2F1dGhvcnM+PC9jb250cmlidXRvcnM+PHRp
dGxlcz48dGl0bGU+RnVuZGFtZW50YWwgZnJlcXVlbmN5IGZvcm11bGF0aW9uIGFuZCBtb2RlbGlu
ZyBvZiBtYXNvbnJ5IHNsZW5kZXIgc3RydWN0dXJlczogQSBjb21wYXJhdGl2ZSBzdHVkeSBvZiBt
YWNoaW5lIGxlYXJuaW5nIGFuZCByZWdyZXNzaW9uIHRlY2huaXF1ZXM8L3RpdGxlPjxzZWNvbmRh
cnktdGl0bGU+RW5naW5lZXJpbmcgRmFpbHVyZSBBbmFseXNpczwvc2Vjb25kYXJ5LXRpdGxlPjwv
dGl0bGVzPjxwZXJpb2RpY2FsPjxmdWxsLXRpdGxlPkVuZ2luZWVyaW5nIEZhaWx1cmUgQW5hbHlz
aXM8L2Z1bGwtdGl0bGU+PGFiYnItMT5FbmcuIEZhaWx1cmUgQW5hbC48L2FiYnItMT48YWJici0y
PkVuZyBGYWlsdXJlIEFuYWw8L2FiYnItMj48L3BlcmlvZGljYWw+PHBhZ2VzPjEwODQyMDwvcGFn
ZXM+PHZvbHVtZT4xNjI8L3ZvbHVtZT48a2V5d29yZHM+PGtleXdvcmQ+RnVuZGFtZW50YWwgZnJl
cXVlbmN5PC9rZXl3b3JkPjxrZXl3b3JkPlNsZW5kZXIgbWFzb25yeSBzdHJ1Y3R1cmVzPC9rZXl3
b3JkPjxrZXl3b3JkPk1hY2hpbmUgbGVhcm5pbmc8L2tleXdvcmQ+PGtleXdvcmQ+UmVncmVzc2lv
biB0ZWNobmlxdWVzPC9rZXl3b3JkPjxrZXl3b3JkPlN0cnVjdHVyYWwgaGVhbHRoIG1vbml0b3Jp
bmc8L2tleXdvcmQ+PC9rZXl3b3Jkcz48ZGF0ZXM+PHllYXI+MjAyNDwveWVhcj48cHViLWRhdGVz
PjxkYXRlPjIwMjQvMDgvMDEvPC9kYXRlPjwvcHViLWRhdGVzPjwvZGF0ZXM+PGlzYm4+MTM1MC02
MzA3PC9pc2JuPjx1cmxzPjxyZWxhdGVkLXVybHM+PHVybD5odHRwczovL3d3dy5zY2llbmNlZGly
ZWN0LmNvbS9zY2llbmNlL2FydGljbGUvcGlpL1MxMzUwNjMwNzI0MDA0NjY3PC91cmw+PC9yZWxh
dGVkLXVybHM+PC91cmxzPjxlbGVjdHJvbmljLXJlc291cmNlLW51bT5odHRwczovL2RvaS5vcmcv
MTAuMTAxNi9qLmVuZ2ZhaWxhbmFsLjIwMjQuMTA4NDIwPC9lbGVjdHJvbmljLXJlc291cmNlLW51
bT48L3JlY29yZD48L0NpdGU+PC9FbmROb3RlPgB=
</w:fldData>
        </w:fldChar>
      </w:r>
      <w:r>
        <w:instrText xml:space="preserve"> ADDIN EN.CITE </w:instrText>
      </w:r>
      <w:r>
        <w:fldChar w:fldCharType="begin">
          <w:fldData xml:space="preserve">PEVuZE5vdGU+PENpdGU+PEF1dGhvcj5TYXJtYWRpPC9BdXRob3I+PFllYXI+MjAyNDwvWWVhcj48
UmVjTnVtPjI4NDk8L1JlY051bT48RGlzcGxheVRleHQ+WzEyLDEzXTwvRGlzcGxheVRleHQ+PHJl
Y29yZD48cmVjLW51bWJlcj4yODQ5PC9yZWMtbnVtYmVyPjxmb3JlaWduLWtleXM+PGtleSBhcHA9
IkVOIiBkYi1pZD0idHRwc3BwYXM0YTV3dmZlYTl4cjUyOXN3MjBkNXMycjJmc3NzIiB0aW1lc3Rh
bXA9IjE3MDg3ODIzNzYiPjI4NDk8L2tleT48L2ZvcmVpZ24ta2V5cz48cmVmLXR5cGUgbmFtZT0i
Qm9vayBTZWN0aW9uIj41PC9yZWYtdHlwZT48Y29udHJpYnV0b3JzPjxhdXRob3JzPjxhdXRob3I+
U2FybWFkaSwgSGFzc2FuPC9hdXRob3I+PGF1dGhvcj5CZWhrYW1hbCwgQmFoYXJlaDwvYXV0aG9y
PjxhdXRob3I+RW50ZXphbWksIEFsaXJlemE8L2F1dGhvcj48L2F1dGhvcnM+PHNlY29uZGFyeS1h
dXRob3JzPjxhdXRob3I+TmVoZGksIE1vbmNlZiBMLjwvYXV0aG9yPjxhdXRob3I+QXJvcmEsIEhh
cmlzaCBDaGFuZHJhPC9hdXRob3I+PGF1dGhvcj5LdW1hciwgS3Jpc2huYTwvYXV0aG9yPjxhdXRo
b3I+PHN0eWxlIGZhY2U9Im5vcm1hbCIgZm9udD0iZGVmYXVsdCIgc2l6ZT0iMTAwJSI+RGFtYTwv
c3R5bGU+PHN0eWxlIGZhY2U9Im5vcm1hbCIgZm9udD0iZGVmYXVsdCIgY2hhcnNldD0iMjM4IiBz
aXplPSIxMDAlIj7FoWV2acSNaXVzLCBSb2JlcnRhczwvc3R5bGU+PC9hdXRob3I+PGF1dGhvcj48
c3R5bGUgZmFjZT0ibm9ybWFsIiBmb250PSJkZWZhdWx0IiBjaGFyc2V0PSIyMzgiIHNpemU9IjEw
MCUiPkt1bWFyLCBBbWFuPC9zdHlsZT48L2F1dGhvcj48L3NlY29uZGFyeS1hdXRob3JzPjwvY29u
dHJpYnV0b3JzPjx0aXRsZXM+PHRpdGxlPlByZWRpY3Rpb24gb2YgbG9uZy10ZXJtIGR5bmFtaWMg
cmVzcG9uc2VzIG9mIGEgaGVyaXRhZ2UgbWFzb25yeSBidWlsZGluZyB1bmRlciB0aGVybWFsIGVm
ZmVjdHMgYnkgYXV0b21hdGVkIGtlcm5lbC1iYXNlZCByZWdyZXNzaW9uIG1vZGVsaW5nPC90aXRs
ZT48c2Vjb25kYXJ5LXRpdGxlPkFydGlmaWNpYWwgSW50ZWxsaWdlbmNlIEFwcGxpY2F0aW9ucyBm
b3IgU3VzdGFpbmFibGUgQ29uc3RydWN0aW9uPC9zZWNvbmRhcnktdGl0bGU+PC90aXRsZXM+PHBh
Z2VzPjI1Ny0yODM8L3BhZ2VzPjxrZXl3b3Jkcz48a2V5d29yZD5CYXllc2lhbiBoeXBlcnBhcmFt
ZXRlciBvcHRpbWl6YXRpb248L2tleXdvcmQ+PGtleXdvcmQ+S2VybmVsIGxlYXJuaW5nPC9rZXl3
b3JkPjxrZXl3b3JkPkxvbmctdGVybSBtb25pdG9yaW5nPC9rZXl3b3JkPjxrZXl3b3JkPk1hc29u
cnkgc3RydWN0dXJlPC9rZXl3b3JkPjxrZXl3b3JkPk1vZGFsIGZyZXF1ZW5jeTwva2V5d29yZD48
a2V5d29yZD5QcmVkaWN0aW9uPC9rZXl3b3JkPjxrZXl3b3JkPlJlZ3Jlc3Npb248L2tleXdvcmQ+
PGtleXdvcmQ+U3VwZXJ2aXNlZCBsZWFybmluZzwva2V5d29yZD48a2V5d29yZD5UZW1wZXJhdHVy
ZTwva2V5d29yZD48L2tleXdvcmRzPjxkYXRlcz48eWVhcj4yMDI0PC95ZWFyPjxwdWItZGF0ZXM+
PGRhdGU+MjAyNC8wMS8wMS88L2RhdGU+PC9wdWItZGF0ZXM+PC9kYXRlcz48cHVibGlzaGVyPldv
b2RoZWFkIFB1Ymxpc2hpbmc8L3B1Ymxpc2hlcj48aXNibj45NzgtMC00NDMtMTMxOTEtMjwvaXNi
bj48dXJscz48cmVsYXRlZC11cmxzPjx1cmw+aHR0cHM6Ly93d3cuc2NpZW5jZWRpcmVjdC5jb20v
c2NpZW5jZS9hcnRpY2xlL3BpaS9COTc4MDQ0MzEzMTkxMjAwMDEwOTwvdXJsPjwvcmVsYXRlZC11
cmxzPjwvdXJscz48ZWxlY3Ryb25pYy1yZXNvdXJjZS1udW0+aHR0cHM6Ly9kb2kub3JnLzEwLjEw
MTYvQjk3OC0wLTQ0My0xMzE5MS0yLjAwMDEwLTk8L2VsZWN0cm9uaWMtcmVzb3VyY2UtbnVtPjwv
cmVjb3JkPjwvQ2l0ZT48Q2l0ZT48QXV0aG9yPk1hbmlrYW5kYW48L0F1dGhvcj48WWVhcj4yMDI0
PC9ZZWFyPjxSZWNOdW0+MzE1MTwvUmVjTnVtPjxyZWNvcmQ+PHJlYy1udW1iZXI+MzE1MTwvcmVj
LW51bWJlcj48Zm9yZWlnbi1rZXlzPjxrZXkgYXBwPSJFTiIgZGItaWQ9InR0cHNwcGFzNGE1d3Zm
ZWE5eHI1MjlzdzIwZDVzMnIyZnNzcyIgdGltZXN0YW1wPSIxNzM4NDgxMDA3Ij4zMTUxPC9rZXk+
PC9mb3JlaWduLWtleXM+PHJlZi10eXBlIG5hbWU9IkpvdXJuYWwgQXJ0aWNsZSI+MTc8L3JlZi10
eXBlPjxjb250cmlidXRvcnM+PGF1dGhvcnM+PGF1dGhvcj5NYW5pa2FuZGFuLCBLLjwvYXV0aG9y
PjxhdXRob3I+TmlkaGksIE0uPC9hdXRob3I+PGF1dGhvcj5NaWNlbGxpLCBGcmFuY2VzY288L2F1
dGhvcj48YXV0aG9yPkNhc2NhcmRpLCBBbGVzc2lvPC9hdXRob3I+PGF1dGhvcj5TaXZhc3VicmFt
YW5pYW4sIE1hZGFwcGEgVi4gUi48L2F1dGhvcj48L2F1dGhvcnM+PC9jb250cmlidXRvcnM+PHRp
dGxlcz48dGl0bGU+RnVuZGFtZW50YWwgZnJlcXVlbmN5IGZvcm11bGF0aW9uIGFuZCBtb2RlbGlu
ZyBvZiBtYXNvbnJ5IHNsZW5kZXIgc3RydWN0dXJlczogQSBjb21wYXJhdGl2ZSBzdHVkeSBvZiBt
YWNoaW5lIGxlYXJuaW5nIGFuZCByZWdyZXNzaW9uIHRlY2huaXF1ZXM8L3RpdGxlPjxzZWNvbmRh
cnktdGl0bGU+RW5naW5lZXJpbmcgRmFpbHVyZSBBbmFseXNpczwvc2Vjb25kYXJ5LXRpdGxlPjwv
dGl0bGVzPjxwZXJpb2RpY2FsPjxmdWxsLXRpdGxlPkVuZ2luZWVyaW5nIEZhaWx1cmUgQW5hbHlz
aXM8L2Z1bGwtdGl0bGU+PGFiYnItMT5FbmcuIEZhaWx1cmUgQW5hbC48L2FiYnItMT48YWJici0y
PkVuZyBGYWlsdXJlIEFuYWw8L2FiYnItMj48L3BlcmlvZGljYWw+PHBhZ2VzPjEwODQyMDwvcGFn
ZXM+PHZvbHVtZT4xNjI8L3ZvbHVtZT48a2V5d29yZHM+PGtleXdvcmQ+RnVuZGFtZW50YWwgZnJl
cXVlbmN5PC9rZXl3b3JkPjxrZXl3b3JkPlNsZW5kZXIgbWFzb25yeSBzdHJ1Y3R1cmVzPC9rZXl3
b3JkPjxrZXl3b3JkPk1hY2hpbmUgbGVhcm5pbmc8L2tleXdvcmQ+PGtleXdvcmQ+UmVncmVzc2lv
biB0ZWNobmlxdWVzPC9rZXl3b3JkPjxrZXl3b3JkPlN0cnVjdHVyYWwgaGVhbHRoIG1vbml0b3Jp
bmc8L2tleXdvcmQ+PC9rZXl3b3Jkcz48ZGF0ZXM+PHllYXI+MjAyNDwveWVhcj48cHViLWRhdGVz
PjxkYXRlPjIwMjQvMDgvMDEvPC9kYXRlPjwvcHViLWRhdGVzPjwvZGF0ZXM+PGlzYm4+MTM1MC02
MzA3PC9pc2JuPjx1cmxzPjxyZWxhdGVkLXVybHM+PHVybD5odHRwczovL3d3dy5zY2llbmNlZGly
ZWN0LmNvbS9zY2llbmNlL2FydGljbGUvcGlpL1MxMzUwNjMwNzI0MDA0NjY3PC91cmw+PC9yZWxh
dGVkLXVybHM+PC91cmxzPjxlbGVjdHJvbmljLXJlc291cmNlLW51bT5odHRwczovL2RvaS5vcmcv
MTAuMTAxNi9qLmVuZ2ZhaWxhbmFsLjIwMjQuMTA4NDIwPC9lbGVjdHJvbmljLXJlc291cmNlLW51
bT48L3JlY29yZD48L0NpdGU+PC9FbmROb3RlPgB=
</w:fldData>
        </w:fldChar>
      </w:r>
      <w:r>
        <w:instrText xml:space="preserve"> ADDIN EN.CITE.DATA </w:instrText>
      </w:r>
      <w:r>
        <w:fldChar w:fldCharType="end"/>
      </w:r>
      <w:r>
        <w:fldChar w:fldCharType="separate"/>
      </w:r>
      <w:r>
        <w:rPr>
          <w:noProof/>
        </w:rPr>
        <w:t>[12,13]</w:t>
      </w:r>
      <w:r>
        <w:fldChar w:fldCharType="end"/>
      </w:r>
      <w:r>
        <w:t xml:space="preserve">, dam displacements </w:t>
      </w:r>
      <w:r>
        <w:fldChar w:fldCharType="begin">
          <w:fldData xml:space="preserve">PEVuZE5vdGU+PENpdGU+PEF1dGhvcj5IdWFuZzwvQXV0aG9yPjxZZWFyPjIwMjM8L1llYXI+PFJl
Y051bT4yOTAzPC9SZWNOdW0+PERpc3BsYXlUZXh0PlsxNCwxNV08L0Rpc3BsYXlUZXh0PjxyZWNv
cmQ+PHJlYy1udW1iZXI+MjkwMzwvcmVjLW51bWJlcj48Zm9yZWlnbi1rZXlzPjxrZXkgYXBwPSJF
TiIgZGItaWQ9InR0cHNwcGFzNGE1d3ZmZWE5eHI1MjlzdzIwZDVzMnIyZnNzcyIgdGltZXN0YW1w
PSIxNzEwMDY0NzMzIj4yOTAzPC9rZXk+PC9mb3JlaWduLWtleXM+PHJlZi10eXBlIG5hbWU9Ikpv
dXJuYWwgQXJ0aWNsZSI+MTc8L3JlZi10eXBlPjxjb250cmlidXRvcnM+PGF1dGhvcnM+PGF1dGhv
cj5IdWFuZywgQmVuPC9hdXRob3I+PGF1dGhvcj5LYW5nLCBGZWk8L2F1dGhvcj48YXV0aG9yPkxp
LCBKdW5qaWU8L2F1dGhvcj48YXV0aG9yPldhbmcsIEZlbmc8L2F1dGhvcj48L2F1dGhvcnM+PC9j
b250cmlidXRvcnM+PHRpdGxlcz48dGl0bGU+RGlzcGxhY2VtZW50IHByZWRpY3Rpb24gbW9kZWwg
Zm9yIGhpZ2ggYXJjaCBkYW1zIHVzaW5nIGxvbmcgc2hvcnQtdGVybSBtZW1vcnkgYmFzZWQgZW5j
b2Rlci1kZWNvZGVyIHdpdGggZHVhbC1zdGFnZSBhdHRlbnRpb24gY29uc2lkZXJpbmcgbWVhc3Vy
ZWQgZGFtIHRlbXBlcmF0dXJlPC90aXRsZT48c2Vjb25kYXJ5LXRpdGxlPkVuZ2luZWVyaW5nIFN0
cnVjdHVyZXM8L3NlY29uZGFyeS10aXRsZT48L3RpdGxlcz48cGVyaW9kaWNhbD48ZnVsbC10aXRs
ZT5FbmdpbmVlcmluZyBTdHJ1Y3R1cmVzPC9mdWxsLXRpdGxlPjxhYmJyLTE+RW5nLiBTdHJ1Y3Qu
PC9hYmJyLTE+PGFiYnItMj5FbmcgU3RydWN0PC9hYmJyLTI+PC9wZXJpb2RpY2FsPjxwYWdlcz4x
MTU2ODY8L3BhZ2VzPjx2b2x1bWU+MjgwPC92b2x1bWU+PGtleXdvcmRzPjxrZXl3b3JkPlN0cnVj
dHVyYWwgaGVhbHRoIG1vbml0b3Jpbmc8L2tleXdvcmQ+PGtleXdvcmQ+RGFtIGJlaGF2aW9yIHBy
ZWRpY3Rpb248L2tleXdvcmQ+PGtleXdvcmQ+SGlnaCBhcmNoIGRhbTwva2V5d29yZD48a2V5d29y
ZD5FbmNvZGVyLWRlY29kZXI8L2tleXdvcmQ+PGtleXdvcmQ+TG9uZyBzaG9ydC10ZXJtIG1lbW9y
eSBuZXR3b3Jrczwva2V5d29yZD48a2V5d29yZD5EdWFsLXN0YWdlIGF0dGVudGlvbiBtZWNoYW5p
c208L2tleXdvcmQ+PC9rZXl3b3Jkcz48ZGF0ZXM+PHllYXI+MjAyMzwveWVhcj48cHViLWRhdGVz
PjxkYXRlPjIwMjMvMDQvMDEvPC9kYXRlPjwvcHViLWRhdGVzPjwvZGF0ZXM+PGlzYm4+MDE0MS0w
Mjk2PC9pc2JuPjx1cmxzPjxyZWxhdGVkLXVybHM+PHVybD5odHRwczovL3d3dy5zY2llbmNlZGly
ZWN0LmNvbS9zY2llbmNlL2FydGljbGUvcGlpL1MwMTQxMDI5NjIzMDAxMDAxPC91cmw+PC9yZWxh
dGVkLXVybHM+PC91cmxzPjxlbGVjdHJvbmljLXJlc291cmNlLW51bT5odHRwczovL2RvaS5vcmcv
MTAuMTAxNi9qLmVuZ3N0cnVjdC4yMDIzLjExNTY4NjwvZWxlY3Ryb25pYy1yZXNvdXJjZS1udW0+
PC9yZWNvcmQ+PC9DaXRlPjxDaXRlPjxBdXRob3I+TGk8L0F1dGhvcj48WWVhcj4yMDIyPC9ZZWFy
PjxSZWNOdW0+MjY2OTwvUmVjTnVtPjxyZWNvcmQ+PHJlYy1udW1iZXI+MjY2OTwvcmVjLW51bWJl
cj48Zm9yZWlnbi1rZXlzPjxrZXkgYXBwPSJFTiIgZGItaWQ9InR0cHNwcGFzNGE1d3ZmZWE5eHI1
MjlzdzIwZDVzMnIyZnNzcyIgdGltZXN0YW1wPSIxNjk3NDc0MTY2Ij4yNjY5PC9rZXk+PC9mb3Jl
aWduLWtleXM+PHJlZi10eXBlIG5hbWU9IkpvdXJuYWwgQXJ0aWNsZSI+MTc8L3JlZi10eXBlPjxj
b250cmlidXRvcnM+PGF1dGhvcnM+PGF1dGhvcj5MaSwgWWFuZ3RhbzwvYXV0aG9yPjxhdXRob3I+
QmFvLCBUZW5nZmVpPC9hdXRob3I+PGF1dGhvcj5HYW8sIFpoaXhpbjwvYXV0aG9yPjxhdXRob3I+
U2h1LCBYaWFvc29uZzwvYXV0aG9yPjxhdXRob3I+WmhhbmcsIEthbmc8L2F1dGhvcj48YXV0aG9y
PlhpZSwgTHVuY2hlbjwvYXV0aG9yPjxhdXRob3I+WmhhbmcsIFpoZW50YW88L2F1dGhvcj48L2F1
dGhvcnM+PC9jb250cmlidXRvcnM+PHRpdGxlcz48dGl0bGU+QSBuZXcgZGFtIHN0cnVjdHVyYWwg
cmVzcG9uc2UgZXN0aW1hdGlvbiBwYXJhZGlnbSBwb3dlcmVkIGJ5IGRlZXAgbGVhcm5pbmcgYW5k
IHRyYW5zZmVyIGxlYXJuaW5nIHRlY2huaXF1ZXM8L3RpdGxlPjxzZWNvbmRhcnktdGl0bGU+U3Ry
dWN0dXJhbCBIZWFsdGggTW9uaXRvcmluZzwvc2Vjb25kYXJ5LXRpdGxlPjwvdGl0bGVzPjxwZXJp
b2RpY2FsPjxmdWxsLXRpdGxlPlN0cnVjdHVyYWwgSGVhbHRoIE1vbml0b3Jpbmc8L2Z1bGwtdGl0
bGU+PGFiYnItMT5TdHJ1Y3QuIEhlYWx0aCBNb25pdC48L2FiYnItMT48YWJici0yPlN0cnVjdCBI
ZWFsdGggTW9uaXQ8L2FiYnItMj48L3BlcmlvZGljYWw+PHBhZ2VzPjc3MC03ODc8L3BhZ2VzPjx2
b2x1bWU+MjE8L3ZvbHVtZT48bnVtYmVyPjM8L251bWJlcj48a2V5d29yZHM+PGtleXdvcmQ+U3Ry
dWN0dXJhbCBoZWFsdGggbW9uaXRvcmluZyxkYW0gYmVoYXZpb3IgcHJlZGljdGlvbixjb252b2x1
dGlvbmFsIG5ldXJhbCBuZXR3b3JrLGJpLUdSVSx0cmFuc2ZlciBsZWFybmluZyxmaW5lLXR1bmlu
ZyBzdHJhdGVneTwva2V5d29yZD48L2tleXdvcmRzPjxkYXRlcz48eWVhcj4yMDIyPC95ZWFyPjwv
ZGF0ZXM+PHVybHM+PHJlbGF0ZWQtdXJscz48dXJsPmh0dHBzOi8vam91cm5hbHMuc2FnZXB1Yi5j
b20vZG9pL2Ficy8xMC4xMTc3LzE0NzU5MjE3MjExMDA5NzgwPC91cmw+PC9yZWxhdGVkLXVybHM+
PC91cmxzPjxlbGVjdHJvbmljLXJlc291cmNlLW51bT5odHRwczovL2RvaS5vcmcvMTAuMTE3Ny8x
NDc1OTIxNzIxMTAwOTc4MDwvZWxlY3Ryb25pYy1yZXNvdXJjZS1udW0+PC9yZWNvcmQ+PC9DaXRl
PjwvRW5kTm90ZT4A
</w:fldData>
        </w:fldChar>
      </w:r>
      <w:r>
        <w:instrText xml:space="preserve"> ADDIN EN.CITE </w:instrText>
      </w:r>
      <w:r>
        <w:fldChar w:fldCharType="begin">
          <w:fldData xml:space="preserve">PEVuZE5vdGU+PENpdGU+PEF1dGhvcj5IdWFuZzwvQXV0aG9yPjxZZWFyPjIwMjM8L1llYXI+PFJl
Y051bT4yOTAzPC9SZWNOdW0+PERpc3BsYXlUZXh0PlsxNCwxNV08L0Rpc3BsYXlUZXh0PjxyZWNv
cmQ+PHJlYy1udW1iZXI+MjkwMzwvcmVjLW51bWJlcj48Zm9yZWlnbi1rZXlzPjxrZXkgYXBwPSJF
TiIgZGItaWQ9InR0cHNwcGFzNGE1d3ZmZWE5eHI1MjlzdzIwZDVzMnIyZnNzcyIgdGltZXN0YW1w
PSIxNzEwMDY0NzMzIj4yOTAzPC9rZXk+PC9mb3JlaWduLWtleXM+PHJlZi10eXBlIG5hbWU9Ikpv
dXJuYWwgQXJ0aWNsZSI+MTc8L3JlZi10eXBlPjxjb250cmlidXRvcnM+PGF1dGhvcnM+PGF1dGhv
cj5IdWFuZywgQmVuPC9hdXRob3I+PGF1dGhvcj5LYW5nLCBGZWk8L2F1dGhvcj48YXV0aG9yPkxp
LCBKdW5qaWU8L2F1dGhvcj48YXV0aG9yPldhbmcsIEZlbmc8L2F1dGhvcj48L2F1dGhvcnM+PC9j
b250cmlidXRvcnM+PHRpdGxlcz48dGl0bGU+RGlzcGxhY2VtZW50IHByZWRpY3Rpb24gbW9kZWwg
Zm9yIGhpZ2ggYXJjaCBkYW1zIHVzaW5nIGxvbmcgc2hvcnQtdGVybSBtZW1vcnkgYmFzZWQgZW5j
b2Rlci1kZWNvZGVyIHdpdGggZHVhbC1zdGFnZSBhdHRlbnRpb24gY29uc2lkZXJpbmcgbWVhc3Vy
ZWQgZGFtIHRlbXBlcmF0dXJlPC90aXRsZT48c2Vjb25kYXJ5LXRpdGxlPkVuZ2luZWVyaW5nIFN0
cnVjdHVyZXM8L3NlY29uZGFyeS10aXRsZT48L3RpdGxlcz48cGVyaW9kaWNhbD48ZnVsbC10aXRs
ZT5FbmdpbmVlcmluZyBTdHJ1Y3R1cmVzPC9mdWxsLXRpdGxlPjxhYmJyLTE+RW5nLiBTdHJ1Y3Qu
PC9hYmJyLTE+PGFiYnItMj5FbmcgU3RydWN0PC9hYmJyLTI+PC9wZXJpb2RpY2FsPjxwYWdlcz4x
MTU2ODY8L3BhZ2VzPjx2b2x1bWU+MjgwPC92b2x1bWU+PGtleXdvcmRzPjxrZXl3b3JkPlN0cnVj
dHVyYWwgaGVhbHRoIG1vbml0b3Jpbmc8L2tleXdvcmQ+PGtleXdvcmQ+RGFtIGJlaGF2aW9yIHBy
ZWRpY3Rpb248L2tleXdvcmQ+PGtleXdvcmQ+SGlnaCBhcmNoIGRhbTwva2V5d29yZD48a2V5d29y
ZD5FbmNvZGVyLWRlY29kZXI8L2tleXdvcmQ+PGtleXdvcmQ+TG9uZyBzaG9ydC10ZXJtIG1lbW9y
eSBuZXR3b3Jrczwva2V5d29yZD48a2V5d29yZD5EdWFsLXN0YWdlIGF0dGVudGlvbiBtZWNoYW5p
c208L2tleXdvcmQ+PC9rZXl3b3Jkcz48ZGF0ZXM+PHllYXI+MjAyMzwveWVhcj48cHViLWRhdGVz
PjxkYXRlPjIwMjMvMDQvMDEvPC9kYXRlPjwvcHViLWRhdGVzPjwvZGF0ZXM+PGlzYm4+MDE0MS0w
Mjk2PC9pc2JuPjx1cmxzPjxyZWxhdGVkLXVybHM+PHVybD5odHRwczovL3d3dy5zY2llbmNlZGly
ZWN0LmNvbS9zY2llbmNlL2FydGljbGUvcGlpL1MwMTQxMDI5NjIzMDAxMDAxPC91cmw+PC9yZWxh
dGVkLXVybHM+PC91cmxzPjxlbGVjdHJvbmljLXJlc291cmNlLW51bT5odHRwczovL2RvaS5vcmcv
MTAuMTAxNi9qLmVuZ3N0cnVjdC4yMDIzLjExNTY4NjwvZWxlY3Ryb25pYy1yZXNvdXJjZS1udW0+
PC9yZWNvcmQ+PC9DaXRlPjxDaXRlPjxBdXRob3I+TGk8L0F1dGhvcj48WWVhcj4yMDIyPC9ZZWFy
PjxSZWNOdW0+MjY2OTwvUmVjTnVtPjxyZWNvcmQ+PHJlYy1udW1iZXI+MjY2OTwvcmVjLW51bWJl
cj48Zm9yZWlnbi1rZXlzPjxrZXkgYXBwPSJFTiIgZGItaWQ9InR0cHNwcGFzNGE1d3ZmZWE5eHI1
MjlzdzIwZDVzMnIyZnNzcyIgdGltZXN0YW1wPSIxNjk3NDc0MTY2Ij4yNjY5PC9rZXk+PC9mb3Jl
aWduLWtleXM+PHJlZi10eXBlIG5hbWU9IkpvdXJuYWwgQXJ0aWNsZSI+MTc8L3JlZi10eXBlPjxj
b250cmlidXRvcnM+PGF1dGhvcnM+PGF1dGhvcj5MaSwgWWFuZ3RhbzwvYXV0aG9yPjxhdXRob3I+
QmFvLCBUZW5nZmVpPC9hdXRob3I+PGF1dGhvcj5HYW8sIFpoaXhpbjwvYXV0aG9yPjxhdXRob3I+
U2h1LCBYaWFvc29uZzwvYXV0aG9yPjxhdXRob3I+WmhhbmcsIEthbmc8L2F1dGhvcj48YXV0aG9y
PlhpZSwgTHVuY2hlbjwvYXV0aG9yPjxhdXRob3I+WmhhbmcsIFpoZW50YW88L2F1dGhvcj48L2F1
dGhvcnM+PC9jb250cmlidXRvcnM+PHRpdGxlcz48dGl0bGU+QSBuZXcgZGFtIHN0cnVjdHVyYWwg
cmVzcG9uc2UgZXN0aW1hdGlvbiBwYXJhZGlnbSBwb3dlcmVkIGJ5IGRlZXAgbGVhcm5pbmcgYW5k
IHRyYW5zZmVyIGxlYXJuaW5nIHRlY2huaXF1ZXM8L3RpdGxlPjxzZWNvbmRhcnktdGl0bGU+U3Ry
dWN0dXJhbCBIZWFsdGggTW9uaXRvcmluZzwvc2Vjb25kYXJ5LXRpdGxlPjwvdGl0bGVzPjxwZXJp
b2RpY2FsPjxmdWxsLXRpdGxlPlN0cnVjdHVyYWwgSGVhbHRoIE1vbml0b3Jpbmc8L2Z1bGwtdGl0
bGU+PGFiYnItMT5TdHJ1Y3QuIEhlYWx0aCBNb25pdC48L2FiYnItMT48YWJici0yPlN0cnVjdCBI
ZWFsdGggTW9uaXQ8L2FiYnItMj48L3BlcmlvZGljYWw+PHBhZ2VzPjc3MC03ODc8L3BhZ2VzPjx2
b2x1bWU+MjE8L3ZvbHVtZT48bnVtYmVyPjM8L251bWJlcj48a2V5d29yZHM+PGtleXdvcmQ+U3Ry
dWN0dXJhbCBoZWFsdGggbW9uaXRvcmluZyxkYW0gYmVoYXZpb3IgcHJlZGljdGlvbixjb252b2x1
dGlvbmFsIG5ldXJhbCBuZXR3b3JrLGJpLUdSVSx0cmFuc2ZlciBsZWFybmluZyxmaW5lLXR1bmlu
ZyBzdHJhdGVneTwva2V5d29yZD48L2tleXdvcmRzPjxkYXRlcz48eWVhcj4yMDIyPC95ZWFyPjwv
ZGF0ZXM+PHVybHM+PHJlbGF0ZWQtdXJscz48dXJsPmh0dHBzOi8vam91cm5hbHMuc2FnZXB1Yi5j
b20vZG9pL2Ficy8xMC4xMTc3LzE0NzU5MjE3MjExMDA5NzgwPC91cmw+PC9yZWxhdGVkLXVybHM+
PC91cmxzPjxlbGVjdHJvbmljLXJlc291cmNlLW51bT5odHRwczovL2RvaS5vcmcvMTAuMTE3Ny8x
NDc1OTIxNzIxMTAwOTc4MDwvZWxlY3Ryb25pYy1yZXNvdXJjZS1udW0+PC9yZWNvcmQ+PC9DaXRl
PjwvRW5kTm90ZT4A
</w:fldData>
        </w:fldChar>
      </w:r>
      <w:r>
        <w:instrText xml:space="preserve"> ADDIN EN.CITE.DATA </w:instrText>
      </w:r>
      <w:r>
        <w:fldChar w:fldCharType="end"/>
      </w:r>
      <w:r>
        <w:fldChar w:fldCharType="separate"/>
      </w:r>
      <w:r>
        <w:rPr>
          <w:noProof/>
        </w:rPr>
        <w:t>[14,15]</w:t>
      </w:r>
      <w:r>
        <w:fldChar w:fldCharType="end"/>
      </w:r>
      <w:r>
        <w:t xml:space="preserve">, and seismic-induced displacements </w:t>
      </w:r>
      <w:r>
        <w:fldChar w:fldCharType="begin">
          <w:fldData xml:space="preserve">PEVuZE5vdGU+PENpdGU+PEF1dGhvcj5Bc2dhcmtoYW5pPC9BdXRob3I+PFllYXI+MjAyNDwvWWVh
cj48UmVjTnVtPjMxNTQ8L1JlY051bT48RGlzcGxheVRleHQ+WzE2LDE3XTwvRGlzcGxheVRleHQ+
PHJlY29yZD48cmVjLW51bWJlcj4zMTU0PC9yZWMtbnVtYmVyPjxmb3JlaWduLWtleXM+PGtleSBh
cHA9IkVOIiBkYi1pZD0idHRwc3BwYXM0YTV3dmZlYTl4cjUyOXN3MjBkNXMycjJmc3NzIiB0aW1l
c3RhbXA9IjE3Mzg0ODcwMjEiPjMxNTQ8L2tleT48L2ZvcmVpZ24ta2V5cz48cmVmLXR5cGUgbmFt
ZT0iSm91cm5hbCBBcnRpY2xlIj4xNzwvcmVmLXR5cGU+PGNvbnRyaWJ1dG9ycz48YXV0aG9ycz48
YXV0aG9yPkFzZ2Fya2hhbmksIE4uPC9hdXRob3I+PGF1dGhvcj5LYXplbWksIEYuPC9hdXRob3I+
PGF1dGhvcj5KYWt1YmN6eWstR2HFgmN6ecWEc2thLCBBLjwvYXV0aG9yPjxhdXRob3I+TW9oZWJp
LCBCLjwvYXV0aG9yPjxhdXRob3I+SmFua293c2tpLCBSLjwvYXV0aG9yPjwvYXV0aG9ycz48L2Nv
bnRyaWJ1dG9ycz48dGl0bGVzPjx0aXRsZT5TZWlzbWljIHJlc3BvbnNlIGFuZCBwZXJmb3JtYW5j
ZSBwcmVkaWN0aW9uIG9mIHN0ZWVsIGJ1Y2tsaW5nLXJlc3RyYWluZWQgYnJhY2VkIGZyYW1lcyB1
c2luZyBtYWNoaW5lLWxlYXJuaW5nIG1ldGhvZHM8L3RpdGxlPjxzZWNvbmRhcnktdGl0bGU+RW5n
aW5lZXJpbmcgQXBwbGljYXRpb25zIG9mIEFydGlmaWNpYWwgSW50ZWxsaWdlbmNlPC9zZWNvbmRh
cnktdGl0bGU+PC90aXRsZXM+PHBlcmlvZGljYWw+PGZ1bGwtdGl0bGU+RW5naW5lZXJpbmcgQXBw
bGljYXRpb25zIG9mIEFydGlmaWNpYWwgSW50ZWxsaWdlbmNlPC9mdWxsLXRpdGxlPjxhYmJyLTE+
RW5nLiBBcHBsLiBBcnRpZi4gSW50ZWxsLjwvYWJici0xPjxhYmJyLTI+RW5nIEFwcGwgQXJ0aWYg
SW50ZWxsPC9hYmJyLTI+PC9wZXJpb2RpY2FsPjxwYWdlcz4xMDczODg8L3BhZ2VzPjx2b2x1bWU+
MTI4PC92b2x1bWU+PGtleXdvcmRzPjxrZXl3b3JkPkJ1Y2tsaW5nLXJlc3RyYWluZWQgYnJhY2Vk
IGZyYW1lPC9rZXl3b3JkPjxrZXl3b3JkPk1hY2hpbmUtbGVhcm5pbmcgYWxnb3JpdGhtPC9rZXl3
b3JkPjxrZXl3b3JkPlJlc2lkdWFsIGludGVyc3RvcnkgZHJpZnQ8L2tleXdvcmQ+PGtleXdvcmQ+
U2Vpc21pYyByZXRyb2ZpdDwva2V5d29yZD48a2V5d29yZD5TZWlzbWljIHBlcmZvcm1hbmNlIGN1
cnZlPC9rZXl3b3JkPjxrZXl3b3JkPlNlaXNtaWMgZmFpbHVyZSBwcm9iYWJpbGl0eTwva2V5d29y
ZD48L2tleXdvcmRzPjxkYXRlcz48eWVhcj4yMDI0PC95ZWFyPjxwdWItZGF0ZXM+PGRhdGU+MjAy
NC8wMi8wMS88L2RhdGU+PC9wdWItZGF0ZXM+PC9kYXRlcz48aXNibj4wOTUyLTE5NzY8L2lzYm4+
PHVybHM+PHJlbGF0ZWQtdXJscz48dXJsPmh0dHBzOi8vd3d3LnNjaWVuY2VkaXJlY3QuY29tL3Nj
aWVuY2UvYXJ0aWNsZS9waWkvUzA5NTIxOTc2MjMwMTU3MjU8L3VybD48L3JlbGF0ZWQtdXJscz48
L3VybHM+PGVsZWN0cm9uaWMtcmVzb3VyY2UtbnVtPmh0dHBzOi8vZG9pLm9yZy8xMC4xMDE2L2ou
ZW5nYXBwYWkuMjAyMy4xMDczODg8L2VsZWN0cm9uaWMtcmVzb3VyY2UtbnVtPjwvcmVjb3JkPjwv
Q2l0ZT48Q2l0ZT48QXV0aG9yPlBhazwvQXV0aG9yPjxZZWFyPjIwMjU8L1llYXI+PFJlY051bT4z
MjU4PC9SZWNOdW0+PHJlY29yZD48cmVjLW51bWJlcj4zMjU4PC9yZWMtbnVtYmVyPjxmb3JlaWdu
LWtleXM+PGtleSBhcHA9IkVOIiBkYi1pZD0idHRwc3BwYXM0YTV3dmZlYTl4cjUyOXN3MjBkNXMy
cjJmc3NzIiB0aW1lc3RhbXA9IjE3NDcyNDExMTgiPjMyNTg8L2tleT48L2ZvcmVpZ24ta2V5cz48
cmVmLXR5cGUgbmFtZT0iSm91cm5hbCBBcnRpY2xlIj4xNzwvcmVmLXR5cGU+PGNvbnRyaWJ1dG9y
cz48YXV0aG9ycz48YXV0aG9yPlBhaywgSG9uZ3JhazwvYXV0aG9yPjxhdXRob3I+UGFhbCwgU3Rl
cGhhbmllIEdlcm1hbjwvYXV0aG9yPjwvYXV0aG9ycz48L2NvbnRyaWJ1dG9ycz48dGl0bGVzPjx0
aXRsZT5BIHJlYWwtdGltZSBzdHJ1Y3R1cmFsIHNlaXNtaWMgcmVzcG9uc2UgcHJlZGljdGlvbiBm
cmFtZXdvcmsgYmFzZWQgb24gdHJhbnNmZXIgbGVhcm5pbmcgYW5kIHVuc3VwZXJ2aXNlZCBsZWFy
bmluZzwvdGl0bGU+PHNlY29uZGFyeS10aXRsZT5FbmdpbmVlcmluZyBTdHJ1Y3R1cmVzPC9zZWNv
bmRhcnktdGl0bGU+PC90aXRsZXM+PHBlcmlvZGljYWw+PGZ1bGwtdGl0bGU+RW5naW5lZXJpbmcg
U3RydWN0dXJlczwvZnVsbC10aXRsZT48YWJici0xPkVuZy4gU3RydWN0LjwvYWJici0xPjxhYmJy
LTI+RW5nIFN0cnVjdDwvYWJici0yPjwvcGVyaW9kaWNhbD48cGFnZXM+MTE5MjI3PC9wYWdlcz48
dm9sdW1lPjMyMzwvdm9sdW1lPjxrZXl3b3Jkcz48a2V5d29yZD5UcmFuc2ZlciBsZWFybmluZzwv
a2V5d29yZD48a2V5d29yZD5Mb25nIHNob3J0LXRlcm0gbWVtb3J5IChMU1RNKTwva2V5d29yZD48
a2V5d29yZD5TdHJ1Y3R1cmFsIHNlaXNtaWMgYmVoYXZpb3I8L2tleXdvcmQ+PGtleXdvcmQ+VW5z
dXBlcnZpc2VkIGxlYXJuaW5nPC9rZXl3b3JkPjxrZXl3b3JkPlNTUiBuZXQ8L2tleXdvcmQ+PC9r
ZXl3b3Jkcz48ZGF0ZXM+PHllYXI+MjAyNTwveWVhcj48cHViLWRhdGVzPjxkYXRlPjIwMjUvMDEv
MTUvPC9kYXRlPjwvcHViLWRhdGVzPjwvZGF0ZXM+PGlzYm4+MDE0MS0wMjk2PC9pc2JuPjx1cmxz
PjxyZWxhdGVkLXVybHM+PHVybD5odHRwczovL3d3dy5zY2llbmNlZGlyZWN0LmNvbS9zY2llbmNl
L2FydGljbGUvcGlpL1MwMTQxMDI5NjI0MDE3ODk5PC91cmw+PC9yZWxhdGVkLXVybHM+PC91cmxz
PjxlbGVjdHJvbmljLXJlc291cmNlLW51bT5odHRwczovL2RvaS5vcmcvMTAuMTAxNi9qLmVuZ3N0
cnVjdC4yMDI0LjExOTIyNzwvZWxlY3Ryb25pYy1yZXNvdXJjZS1udW0+PC9yZWNvcmQ+PC9DaXRl
PjwvRW5kTm90ZT5=
</w:fldData>
        </w:fldChar>
      </w:r>
      <w:r>
        <w:instrText xml:space="preserve"> ADDIN EN.CITE </w:instrText>
      </w:r>
      <w:r>
        <w:fldChar w:fldCharType="begin">
          <w:fldData xml:space="preserve">PEVuZE5vdGU+PENpdGU+PEF1dGhvcj5Bc2dhcmtoYW5pPC9BdXRob3I+PFllYXI+MjAyNDwvWWVh
cj48UmVjTnVtPjMxNTQ8L1JlY051bT48RGlzcGxheVRleHQ+WzE2LDE3XTwvRGlzcGxheVRleHQ+
PHJlY29yZD48cmVjLW51bWJlcj4zMTU0PC9yZWMtbnVtYmVyPjxmb3JlaWduLWtleXM+PGtleSBh
cHA9IkVOIiBkYi1pZD0idHRwc3BwYXM0YTV3dmZlYTl4cjUyOXN3MjBkNXMycjJmc3NzIiB0aW1l
c3RhbXA9IjE3Mzg0ODcwMjEiPjMxNTQ8L2tleT48L2ZvcmVpZ24ta2V5cz48cmVmLXR5cGUgbmFt
ZT0iSm91cm5hbCBBcnRpY2xlIj4xNzwvcmVmLXR5cGU+PGNvbnRyaWJ1dG9ycz48YXV0aG9ycz48
YXV0aG9yPkFzZ2Fya2hhbmksIE4uPC9hdXRob3I+PGF1dGhvcj5LYXplbWksIEYuPC9hdXRob3I+
PGF1dGhvcj5KYWt1YmN6eWstR2HFgmN6ecWEc2thLCBBLjwvYXV0aG9yPjxhdXRob3I+TW9oZWJp
LCBCLjwvYXV0aG9yPjxhdXRob3I+SmFua293c2tpLCBSLjwvYXV0aG9yPjwvYXV0aG9ycz48L2Nv
bnRyaWJ1dG9ycz48dGl0bGVzPjx0aXRsZT5TZWlzbWljIHJlc3BvbnNlIGFuZCBwZXJmb3JtYW5j
ZSBwcmVkaWN0aW9uIG9mIHN0ZWVsIGJ1Y2tsaW5nLXJlc3RyYWluZWQgYnJhY2VkIGZyYW1lcyB1
c2luZyBtYWNoaW5lLWxlYXJuaW5nIG1ldGhvZHM8L3RpdGxlPjxzZWNvbmRhcnktdGl0bGU+RW5n
aW5lZXJpbmcgQXBwbGljYXRpb25zIG9mIEFydGlmaWNpYWwgSW50ZWxsaWdlbmNlPC9zZWNvbmRh
cnktdGl0bGU+PC90aXRsZXM+PHBlcmlvZGljYWw+PGZ1bGwtdGl0bGU+RW5naW5lZXJpbmcgQXBw
bGljYXRpb25zIG9mIEFydGlmaWNpYWwgSW50ZWxsaWdlbmNlPC9mdWxsLXRpdGxlPjxhYmJyLTE+
RW5nLiBBcHBsLiBBcnRpZi4gSW50ZWxsLjwvYWJici0xPjxhYmJyLTI+RW5nIEFwcGwgQXJ0aWYg
SW50ZWxsPC9hYmJyLTI+PC9wZXJpb2RpY2FsPjxwYWdlcz4xMDczODg8L3BhZ2VzPjx2b2x1bWU+
MTI4PC92b2x1bWU+PGtleXdvcmRzPjxrZXl3b3JkPkJ1Y2tsaW5nLXJlc3RyYWluZWQgYnJhY2Vk
IGZyYW1lPC9rZXl3b3JkPjxrZXl3b3JkPk1hY2hpbmUtbGVhcm5pbmcgYWxnb3JpdGhtPC9rZXl3
b3JkPjxrZXl3b3JkPlJlc2lkdWFsIGludGVyc3RvcnkgZHJpZnQ8L2tleXdvcmQ+PGtleXdvcmQ+
U2Vpc21pYyByZXRyb2ZpdDwva2V5d29yZD48a2V5d29yZD5TZWlzbWljIHBlcmZvcm1hbmNlIGN1
cnZlPC9rZXl3b3JkPjxrZXl3b3JkPlNlaXNtaWMgZmFpbHVyZSBwcm9iYWJpbGl0eTwva2V5d29y
ZD48L2tleXdvcmRzPjxkYXRlcz48eWVhcj4yMDI0PC95ZWFyPjxwdWItZGF0ZXM+PGRhdGU+MjAy
NC8wMi8wMS88L2RhdGU+PC9wdWItZGF0ZXM+PC9kYXRlcz48aXNibj4wOTUyLTE5NzY8L2lzYm4+
PHVybHM+PHJlbGF0ZWQtdXJscz48dXJsPmh0dHBzOi8vd3d3LnNjaWVuY2VkaXJlY3QuY29tL3Nj
aWVuY2UvYXJ0aWNsZS9waWkvUzA5NTIxOTc2MjMwMTU3MjU8L3VybD48L3JlbGF0ZWQtdXJscz48
L3VybHM+PGVsZWN0cm9uaWMtcmVzb3VyY2UtbnVtPmh0dHBzOi8vZG9pLm9yZy8xMC4xMDE2L2ou
ZW5nYXBwYWkuMjAyMy4xMDczODg8L2VsZWN0cm9uaWMtcmVzb3VyY2UtbnVtPjwvcmVjb3JkPjwv
Q2l0ZT48Q2l0ZT48QXV0aG9yPlBhazwvQXV0aG9yPjxZZWFyPjIwMjU8L1llYXI+PFJlY051bT4z
MjU4PC9SZWNOdW0+PHJlY29yZD48cmVjLW51bWJlcj4zMjU4PC9yZWMtbnVtYmVyPjxmb3JlaWdu
LWtleXM+PGtleSBhcHA9IkVOIiBkYi1pZD0idHRwc3BwYXM0YTV3dmZlYTl4cjUyOXN3MjBkNXMy
cjJmc3NzIiB0aW1lc3RhbXA9IjE3NDcyNDExMTgiPjMyNTg8L2tleT48L2ZvcmVpZ24ta2V5cz48
cmVmLXR5cGUgbmFtZT0iSm91cm5hbCBBcnRpY2xlIj4xNzwvcmVmLXR5cGU+PGNvbnRyaWJ1dG9y
cz48YXV0aG9ycz48YXV0aG9yPlBhaywgSG9uZ3JhazwvYXV0aG9yPjxhdXRob3I+UGFhbCwgU3Rl
cGhhbmllIEdlcm1hbjwvYXV0aG9yPjwvYXV0aG9ycz48L2NvbnRyaWJ1dG9ycz48dGl0bGVzPjx0
aXRsZT5BIHJlYWwtdGltZSBzdHJ1Y3R1cmFsIHNlaXNtaWMgcmVzcG9uc2UgcHJlZGljdGlvbiBm
cmFtZXdvcmsgYmFzZWQgb24gdHJhbnNmZXIgbGVhcm5pbmcgYW5kIHVuc3VwZXJ2aXNlZCBsZWFy
bmluZzwvdGl0bGU+PHNlY29uZGFyeS10aXRsZT5FbmdpbmVlcmluZyBTdHJ1Y3R1cmVzPC9zZWNv
bmRhcnktdGl0bGU+PC90aXRsZXM+PHBlcmlvZGljYWw+PGZ1bGwtdGl0bGU+RW5naW5lZXJpbmcg
U3RydWN0dXJlczwvZnVsbC10aXRsZT48YWJici0xPkVuZy4gU3RydWN0LjwvYWJici0xPjxhYmJy
LTI+RW5nIFN0cnVjdDwvYWJici0yPjwvcGVyaW9kaWNhbD48cGFnZXM+MTE5MjI3PC9wYWdlcz48
dm9sdW1lPjMyMzwvdm9sdW1lPjxrZXl3b3Jkcz48a2V5d29yZD5UcmFuc2ZlciBsZWFybmluZzwv
a2V5d29yZD48a2V5d29yZD5Mb25nIHNob3J0LXRlcm0gbWVtb3J5IChMU1RNKTwva2V5d29yZD48
a2V5d29yZD5TdHJ1Y3R1cmFsIHNlaXNtaWMgYmVoYXZpb3I8L2tleXdvcmQ+PGtleXdvcmQ+VW5z
dXBlcnZpc2VkIGxlYXJuaW5nPC9rZXl3b3JkPjxrZXl3b3JkPlNTUiBuZXQ8L2tleXdvcmQ+PC9r
ZXl3b3Jkcz48ZGF0ZXM+PHllYXI+MjAyNTwveWVhcj48cHViLWRhdGVzPjxkYXRlPjIwMjUvMDEv
MTUvPC9kYXRlPjwvcHViLWRhdGVzPjwvZGF0ZXM+PGlzYm4+MDE0MS0wMjk2PC9pc2JuPjx1cmxz
PjxyZWxhdGVkLXVybHM+PHVybD5odHRwczovL3d3dy5zY2llbmNlZGlyZWN0LmNvbS9zY2llbmNl
L2FydGljbGUvcGlpL1MwMTQxMDI5NjI0MDE3ODk5PC91cmw+PC9yZWxhdGVkLXVybHM+PC91cmxz
PjxlbGVjdHJvbmljLXJlc291cmNlLW51bT5odHRwczovL2RvaS5vcmcvMTAuMTAxNi9qLmVuZ3N0
cnVjdC4yMDI0LjExOTIyNzwvZWxlY3Ryb25pYy1yZXNvdXJjZS1udW0+PC9yZWNvcmQ+PC9DaXRl
PjwvRW5kTm90ZT5=
</w:fldData>
        </w:fldChar>
      </w:r>
      <w:r>
        <w:instrText xml:space="preserve"> ADDIN EN.CITE.DATA </w:instrText>
      </w:r>
      <w:r>
        <w:fldChar w:fldCharType="end"/>
      </w:r>
      <w:r>
        <w:fldChar w:fldCharType="separate"/>
      </w:r>
      <w:r>
        <w:rPr>
          <w:noProof/>
        </w:rPr>
        <w:t>[16,17]</w:t>
      </w:r>
      <w:r>
        <w:fldChar w:fldCharType="end"/>
      </w:r>
      <w:r>
        <w:t xml:space="preserve">. </w:t>
      </w:r>
    </w:p>
    <w:p w14:paraId="37967256" w14:textId="77777777" w:rsidR="00070A00" w:rsidRDefault="00070A00" w:rsidP="00070A00">
      <w:r>
        <w:t xml:space="preserve">In relation to predicting wind-induced vibration responses, various machine learning predictive methods have been developed. Entezami and Sarmadi </w:t>
      </w:r>
      <w:r>
        <w:fldChar w:fldCharType="begin"/>
      </w:r>
      <w:r>
        <w:instrText xml:space="preserve"> ADDIN EN.CITE &lt;EndNote&gt;&lt;Cite&gt;&lt;Author&gt;Entezami&lt;/Author&gt;&lt;Year&gt;2024&lt;/Year&gt;&lt;RecNum&gt;3081&lt;/RecNum&gt;&lt;DisplayText&gt;[18]&lt;/DisplayText&gt;&lt;record&gt;&lt;rec-number&gt;3081&lt;/rec-number&gt;&lt;foreign-keys&gt;&lt;key app="EN" db-id="ttpsppas4a5wvfea9xr529sw20d5s2r2fsss" timestamp="1732604259"&gt;3081&lt;/key&gt;&lt;/foreign-keys&gt;&lt;ref-type name="Journal Article"&gt;17&lt;/ref-type&gt;&lt;contributors&gt;&lt;authors&gt;&lt;author&gt;Entezami, Alireza&lt;/author&gt;&lt;author&gt;Sarmadi, Hassan&lt;/author&gt;&lt;/authors&gt;&lt;/contributors&gt;&lt;titles&gt;&lt;title&gt;Machine learning-aided prediction of windstorm-induced vibration responses of long-span suspension bridges&lt;/title&gt;&lt;secondary-title&gt;Computer-Aided Civil and Infrastructure Engineering&lt;/secondary-title&gt;&lt;/titles&gt;&lt;periodical&gt;&lt;full-title&gt;Computer-Aided Civil and Infrastructure Engineering&lt;/full-title&gt;&lt;abbr-1&gt;Comput. Aided Civ. Inf.&lt;/abbr-1&gt;&lt;abbr-2&gt;Comput Aided Civ Inf&lt;/abbr-2&gt;&lt;/periodical&gt;&lt;pages&gt;1-18&lt;/pages&gt;&lt;dates&gt;&lt;year&gt;2024&lt;/year&gt;&lt;pub-dates&gt;&lt;date&gt;2024/11/25&lt;/date&gt;&lt;/pub-dates&gt;&lt;/dates&gt;&lt;publisher&gt;John Wiley &amp;amp; Sons, Ltd&lt;/publisher&gt;&lt;isbn&gt;1093-9687&lt;/isbn&gt;&lt;urls&gt;&lt;related-urls&gt;&lt;url&gt;https://doi.org/10.1111/mice.13387&lt;/url&gt;&lt;/related-urls&gt;&lt;/urls&gt;&lt;electronic-resource-num&gt;https://doi.org/10.1111/mice.13387&lt;/electronic-resource-num&gt;&lt;access-date&gt;2024/11/25&lt;/access-date&gt;&lt;/record&gt;&lt;/Cite&gt;&lt;/EndNote&gt;</w:instrText>
      </w:r>
      <w:r>
        <w:fldChar w:fldCharType="separate"/>
      </w:r>
      <w:r>
        <w:rPr>
          <w:noProof/>
        </w:rPr>
        <w:t>[18]</w:t>
      </w:r>
      <w:r>
        <w:fldChar w:fldCharType="end"/>
      </w:r>
      <w:r>
        <w:t xml:space="preserve"> introduced an innovative machine learning-assisted predictive framework based on regularized neighborhood components analysis for wind feature selection and a regularized support vector machine for predicting vertical, lateral, and torsional vibration responses of a long-span suspension bridge. Zhang et al. </w:t>
      </w:r>
      <w:r>
        <w:fldChar w:fldCharType="begin"/>
      </w:r>
      <w:r>
        <w:instrText xml:space="preserve"> ADDIN EN.CITE &lt;EndNote&gt;&lt;Cite&gt;&lt;Author&gt;Zhang&lt;/Author&gt;&lt;Year&gt;2021&lt;/Year&gt;&lt;RecNum&gt;2744&lt;/RecNum&gt;&lt;DisplayText&gt;[19]&lt;/DisplayText&gt;&lt;record&gt;&lt;rec-number&gt;2744&lt;/rec-number&gt;&lt;foreign-keys&gt;&lt;key app="EN" db-id="ttpsppas4a5wvfea9xr529sw20d5s2r2fsss" timestamp="1700499013"&gt;2744&lt;/key&gt;&lt;/foreign-keys&gt;&lt;ref-type name="Journal Article"&gt;17&lt;/ref-type&gt;&lt;contributors&gt;&lt;authors&gt;&lt;author&gt;Zhang, Yi-Ming &lt;/author&gt;&lt;author&gt;Wang, Hao &lt;/author&gt;&lt;author&gt;Mao, Jian-Xiao &lt;/author&gt;&lt;author&gt;Xu, Zi-Dong &lt;/author&gt;&lt;author&gt;Zhang, Yu-Feng &lt;/author&gt;&lt;/authors&gt;&lt;/contributors&gt;&lt;titles&gt;&lt;title&gt;Probabilistic framework with bayesian optimization for predicting typhoon-induced dynamic responses of a long-span bridge&lt;/title&gt;&lt;secondary-title&gt;Journal of Structural Engineering&lt;/secondary-title&gt;&lt;/titles&gt;&lt;periodical&gt;&lt;full-title&gt;Journal of Structural Engineering&lt;/full-title&gt;&lt;abbr-1&gt;J. Struct. Eng.&lt;/abbr-1&gt;&lt;abbr-2&gt;J Struct Eng&lt;/abbr-2&gt;&lt;/periodical&gt;&lt;pages&gt;04020297&lt;/pages&gt;&lt;volume&gt;147&lt;/volume&gt;&lt;number&gt;1&lt;/number&gt;&lt;dates&gt;&lt;year&gt;2021&lt;/year&gt;&lt;/dates&gt;&lt;urls&gt;&lt;related-urls&gt;&lt;url&gt;https://ascelibrary.org/doi/abs/10.1061/%28ASCE%29ST.1943-541X.0002881&lt;/url&gt;&lt;/related-urls&gt;&lt;/urls&gt;&lt;electronic-resource-num&gt;https://doi.org/10.1061/(ASCE)ST.1943-541X.0002881&lt;/electronic-resource-num&gt;&lt;/record&gt;&lt;/Cite&gt;&lt;/EndNote&gt;</w:instrText>
      </w:r>
      <w:r>
        <w:fldChar w:fldCharType="separate"/>
      </w:r>
      <w:r>
        <w:rPr>
          <w:noProof/>
        </w:rPr>
        <w:t>[19]</w:t>
      </w:r>
      <w:r>
        <w:fldChar w:fldCharType="end"/>
      </w:r>
      <w:r>
        <w:t xml:space="preserve"> proposed a data-driven methodology for real-time prediction of typhoon-induced responses (TIR) in long-span bridges by leveraging quantile random forest combined with Bayesian optimization to achieve probabilistic predictions of TIR. H. Wang et al. </w:t>
      </w:r>
      <w:r>
        <w:fldChar w:fldCharType="begin"/>
      </w:r>
      <w:r>
        <w:instrText xml:space="preserve"> ADDIN EN.CITE &lt;EndNote&gt;&lt;Cite&gt;&lt;Author&gt;Wang&lt;/Author&gt;&lt;Year&gt;2020&lt;/Year&gt;&lt;RecNum&gt;2747&lt;/RecNum&gt;&lt;DisplayText&gt;[20]&lt;/DisplayText&gt;&lt;record&gt;&lt;rec-number&gt;2747&lt;/rec-number&gt;&lt;foreign-keys&gt;&lt;key app="EN" db-id="ttpsppas4a5wvfea9xr529sw20d5s2r2fsss" timestamp="1700499660"&gt;2747&lt;/key&gt;&lt;/foreign-keys&gt;&lt;ref-type name="Journal Article"&gt;17&lt;/ref-type&gt;&lt;contributors&gt;&lt;authors&gt;&lt;author&gt;Wang, Hao&lt;/author&gt;&lt;author&gt;Zhang, Yi-Ming&lt;/author&gt;&lt;author&gt;Mao, Jian-Xiao&lt;/author&gt;&lt;author&gt;Wan, Hua-Ping&lt;/author&gt;&lt;/authors&gt;&lt;/contributors&gt;&lt;titles&gt;&lt;title&gt;A probabilistic approach for short-term prediction of wind gust speed using ensemble learning&lt;/title&gt;&lt;secondary-title&gt;Journal of Wind Engineering and Industrial Aerodynamics&lt;/secondary-title&gt;&lt;/titles&gt;&lt;pages&gt;104198&lt;/pages&gt;&lt;volume&gt;202&lt;/volume&gt;&lt;keywords&gt;&lt;keyword&gt;Ensemble learning&lt;/keyword&gt;&lt;keyword&gt;Wind gusts&lt;/keyword&gt;&lt;keyword&gt;Probabilistic forecast&lt;/keyword&gt;&lt;keyword&gt;Machine learning approach&lt;/keyword&gt;&lt;/keywords&gt;&lt;dates&gt;&lt;year&gt;2020&lt;/year&gt;&lt;pub-dates&gt;&lt;date&gt;2020/07/01/&lt;/date&gt;&lt;/pub-dates&gt;&lt;/dates&gt;&lt;isbn&gt;0167-6105&lt;/isbn&gt;&lt;urls&gt;&lt;related-urls&gt;&lt;url&gt;https://www.sciencedirect.com/science/article/pii/S0167610520301082&lt;/url&gt;&lt;/related-urls&gt;&lt;/urls&gt;&lt;electronic-resource-num&gt;https://doi.org/10.1016/j.jweia.2020.104198&lt;/electronic-resource-num&gt;&lt;/record&gt;&lt;/Cite&gt;&lt;/EndNote&gt;</w:instrText>
      </w:r>
      <w:r>
        <w:fldChar w:fldCharType="separate"/>
      </w:r>
      <w:r>
        <w:rPr>
          <w:noProof/>
        </w:rPr>
        <w:t>[20]</w:t>
      </w:r>
      <w:r>
        <w:fldChar w:fldCharType="end"/>
      </w:r>
      <w:r>
        <w:t xml:space="preserve"> developed a probabilistic machine learning-based framework for forecasting wind gusts by using an ensemble learning model that integrated three distinct machine learning techniques; that is, random forest, long short-term memory neural network, and Gaussian process regression. Q-A Wang et al. </w:t>
      </w:r>
      <w:r>
        <w:fldChar w:fldCharType="begin"/>
      </w:r>
      <w:r>
        <w:instrText xml:space="preserve"> ADDIN EN.CITE &lt;EndNote&gt;&lt;Cite&gt;&lt;Author&gt;Wang&lt;/Author&gt;&lt;Year&gt;2022&lt;/Year&gt;&lt;RecNum&gt;2727&lt;/RecNum&gt;&lt;DisplayText&gt;[21]&lt;/DisplayText&gt;&lt;record&gt;&lt;rec-number&gt;2727&lt;/rec-number&gt;&lt;foreign-keys&gt;&lt;key app="EN" db-id="ttpsppas4a5wvfea9xr529sw20d5s2r2fsss" timestamp="1700490588"&gt;2727&lt;/key&gt;&lt;/foreign-keys&gt;&lt;ref-type name="Journal Article"&gt;17&lt;/ref-type&gt;&lt;contributors&gt;&lt;authors&gt;&lt;author&gt;Wang, Qi-Ang&lt;/author&gt;&lt;author&gt;Zhang, Cheng&lt;/author&gt;&lt;author&gt;Ma, Zhan-Guo&lt;/author&gt;&lt;author&gt;Ni, Yi-Qing&lt;/author&gt;&lt;/authors&gt;&lt;/contributors&gt;&lt;titles&gt;&lt;title&gt;Modelling and forecasting of SHM strain measurement for a large-scale suspension bridge during typhoon events using variational heteroscedastic Gaussian process&lt;/title&gt;&lt;secondary-title&gt;Engineering Structures&lt;/secondary-title&gt;&lt;/titles&gt;&lt;periodical&gt;&lt;full-title&gt;Engineering Structures&lt;/full-title&gt;&lt;abbr-1&gt;Eng. Struct.&lt;/abbr-1&gt;&lt;abbr-2&gt;Eng Struct&lt;/abbr-2&gt;&lt;/periodical&gt;&lt;pages&gt;113554&lt;/pages&gt;&lt;volume&gt;251&lt;/volume&gt;&lt;keywords&gt;&lt;keyword&gt;Structural health monitoring&lt;/keyword&gt;&lt;keyword&gt;Modelling and forecasting&lt;/keyword&gt;&lt;keyword&gt;Strain measurement&lt;/keyword&gt;&lt;keyword&gt;Variational heteroscedastic gaussian process&lt;/keyword&gt;&lt;keyword&gt;Typhoon events&lt;/keyword&gt;&lt;/keywords&gt;&lt;dates&gt;&lt;year&gt;2022&lt;/year&gt;&lt;pub-dates&gt;&lt;date&gt;2022/01/15/&lt;/date&gt;&lt;/pub-dates&gt;&lt;/dates&gt;&lt;isbn&gt;0141-0296&lt;/isbn&gt;&lt;urls&gt;&lt;related-urls&gt;&lt;url&gt;https://www.sciencedirect.com/science/article/pii/S0141029621016485&lt;/url&gt;&lt;/related-urls&gt;&lt;/urls&gt;&lt;electronic-resource-num&gt;https://doi.org/10.1016/j.engstruct.2021.113554&lt;/electronic-resource-num&gt;&lt;/record&gt;&lt;/Cite&gt;&lt;/EndNote&gt;</w:instrText>
      </w:r>
      <w:r>
        <w:fldChar w:fldCharType="separate"/>
      </w:r>
      <w:r>
        <w:rPr>
          <w:noProof/>
        </w:rPr>
        <w:t>[21]</w:t>
      </w:r>
      <w:r>
        <w:fldChar w:fldCharType="end"/>
      </w:r>
      <w:r>
        <w:t xml:space="preserve"> proposed an advanced modeling and forecasting framework for strain measurements in large suspension bridges during typhoon events by introducing a variational heteroscedastic Gaussian process regression. Ye et al. </w:t>
      </w:r>
      <w:r>
        <w:fldChar w:fldCharType="begin"/>
      </w:r>
      <w:r>
        <w:instrText xml:space="preserve"> ADDIN EN.CITE &lt;EndNote&gt;&lt;Cite&gt;&lt;Author&gt;Ye&lt;/Author&gt;&lt;Year&gt;2023&lt;/Year&gt;&lt;RecNum&gt;2158&lt;/RecNum&gt;&lt;DisplayText&gt;[22]&lt;/DisplayText&gt;&lt;record&gt;&lt;rec-number&gt;2158&lt;/rec-number&gt;&lt;foreign-keys&gt;&lt;key app="EN" db-id="ttpsppas4a5wvfea9xr529sw20d5s2r2fsss" timestamp="1670059219"&gt;2158&lt;/key&gt;&lt;/foreign-keys&gt;&lt;ref-type name="Journal Article"&gt;17&lt;/ref-type&gt;&lt;contributors&gt;&lt;authors&gt;&lt;author&gt;Ye, Xiao-Wei&lt;/author&gt;&lt;author&gt;Sun, Zhen&lt;/author&gt;&lt;author&gt;Lu, Jun&lt;/author&gt;&lt;/authors&gt;&lt;/contributors&gt;&lt;titles&gt;&lt;title&gt;Prediction and early warning of wind-induced girder and tower vibration in cable-stayed bridges with machine learning-based approach&lt;/title&gt;&lt;secondary-title&gt;Engineering Structures&lt;/secondary-title&gt;&lt;/titles&gt;&lt;periodical&gt;&lt;full-title&gt;Engineering Structures&lt;/full-title&gt;&lt;abbr-1&gt;Eng. Struct.&lt;/abbr-1&gt;&lt;abbr-2&gt;Eng Struct&lt;/abbr-2&gt;&lt;/periodical&gt;&lt;pages&gt;115261&lt;/pages&gt;&lt;volume&gt;275&lt;/volume&gt;&lt;keywords&gt;&lt;keyword&gt;Girder and tower vibration&lt;/keyword&gt;&lt;keyword&gt;Cable-stayed bridge&lt;/keyword&gt;&lt;keyword&gt;Structural health monitoring&lt;/keyword&gt;&lt;keyword&gt;Machine learning&lt;/keyword&gt;&lt;keyword&gt;Early warning&lt;/keyword&gt;&lt;keyword&gt;Probability density function&lt;/keyword&gt;&lt;/keywords&gt;&lt;dates&gt;&lt;year&gt;2023&lt;/year&gt;&lt;pub-dates&gt;&lt;date&gt;2023/01/15/&lt;/date&gt;&lt;/pub-dates&gt;&lt;/dates&gt;&lt;isbn&gt;0141-0296&lt;/isbn&gt;&lt;urls&gt;&lt;related-urls&gt;&lt;url&gt;https://www.sciencedirect.com/science/article/pii/S0141029622013372&lt;/url&gt;&lt;/related-urls&gt;&lt;/urls&gt;&lt;electronic-resource-num&gt;https://doi.org/10.1016/j.engstruct.2022.115261&lt;/electronic-resource-num&gt;&lt;/record&gt;&lt;/Cite&gt;&lt;/EndNote&gt;</w:instrText>
      </w:r>
      <w:r>
        <w:fldChar w:fldCharType="separate"/>
      </w:r>
      <w:r>
        <w:rPr>
          <w:noProof/>
        </w:rPr>
        <w:t>[22]</w:t>
      </w:r>
      <w:r>
        <w:fldChar w:fldCharType="end"/>
      </w:r>
      <w:r>
        <w:t xml:space="preserve"> presented a data-driven approach for predicting vibration amplitudes of girders and towers in long-span cable-stayed bridges during strong wind events, s, aiming to enhance early warning mechanisms and improve structural safety, by using random forests. Therefore, the predictive capability of machine learning-aided predictive models not only reduce dependence on dense sensor networks but also enhance real-time decision-making by forecasting critical structural states and responses.</w:t>
      </w:r>
    </w:p>
    <w:p w14:paraId="21AD1CF8" w14:textId="524D7057" w:rsidR="00070A00" w:rsidRDefault="00070A00" w:rsidP="00070A00">
      <w:r>
        <w:t xml:space="preserve">Due to the critical importance of torsional vibration responses, this study </w:t>
      </w:r>
      <w:r w:rsidRPr="00CE675E">
        <w:t xml:space="preserve">proposes </w:t>
      </w:r>
      <w:r>
        <w:t>a machine learning-aided</w:t>
      </w:r>
      <w:r w:rsidRPr="00CE675E">
        <w:t xml:space="preserve"> predictive </w:t>
      </w:r>
      <w:r>
        <w:t>method</w:t>
      </w:r>
      <w:r w:rsidRPr="00CE675E">
        <w:t xml:space="preserve"> </w:t>
      </w:r>
      <w:r>
        <w:t xml:space="preserve">via a Bayesian neural network (BNN). The proposed method also intend to address the problem of multicollinearity in wind-induced vibration prediction </w:t>
      </w:r>
      <w:r>
        <w:fldChar w:fldCharType="begin"/>
      </w:r>
      <w:r>
        <w:instrText xml:space="preserve"> ADDIN EN.CITE &lt;EndNote&gt;&lt;Cite&gt;&lt;Author&gt;Entezami&lt;/Author&gt;&lt;Year&gt;2024&lt;/Year&gt;&lt;RecNum&gt;3081&lt;/RecNum&gt;&lt;DisplayText&gt;[18]&lt;/DisplayText&gt;&lt;record&gt;&lt;rec-number&gt;3081&lt;/rec-number&gt;&lt;foreign-keys&gt;&lt;key app="EN" db-id="ttpsppas4a5wvfea9xr529sw20d5s2r2fsss" timestamp="1732604259"&gt;3081&lt;/key&gt;&lt;/foreign-keys&gt;&lt;ref-type name="Journal Article"&gt;17&lt;/ref-type&gt;&lt;contributors&gt;&lt;authors&gt;&lt;author&gt;Entezami, Alireza&lt;/author&gt;&lt;author&gt;Sarmadi, Hassan&lt;/author&gt;&lt;/authors&gt;&lt;/contributors&gt;&lt;titles&gt;&lt;title&gt;Machine learning-aided prediction of windstorm-induced vibration responses of long-span suspension bridges&lt;/title&gt;&lt;secondary-title&gt;Computer-Aided Civil and Infrastructure Engineering&lt;/secondary-title&gt;&lt;/titles&gt;&lt;periodical&gt;&lt;full-title&gt;Computer-Aided Civil and Infrastructure Engineering&lt;/full-title&gt;&lt;abbr-1&gt;Comput. Aided Civ. Inf.&lt;/abbr-1&gt;&lt;abbr-2&gt;Comput Aided Civ Inf&lt;/abbr-2&gt;&lt;/periodical&gt;&lt;pages&gt;1-18&lt;/pages&gt;&lt;dates&gt;&lt;year&gt;2024&lt;/year&gt;&lt;pub-dates&gt;&lt;date&gt;2024/11/25&lt;/date&gt;&lt;/pub-dates&gt;&lt;/dates&gt;&lt;publisher&gt;John Wiley &amp;amp; Sons, Ltd&lt;/publisher&gt;&lt;isbn&gt;1093-9687&lt;/isbn&gt;&lt;urls&gt;&lt;related-urls&gt;&lt;url&gt;https://doi.org/10.1111/mice.13387&lt;/url&gt;&lt;/related-urls&gt;&lt;/urls&gt;&lt;electronic-resource-num&gt;https://doi.org/10.1111/mice.13387&lt;/electronic-resource-num&gt;&lt;access-date&gt;2024/11/25&lt;/access-date&gt;&lt;/record&gt;&lt;/Cite&gt;&lt;/EndNote&gt;</w:instrText>
      </w:r>
      <w:r>
        <w:fldChar w:fldCharType="separate"/>
      </w:r>
      <w:r>
        <w:rPr>
          <w:noProof/>
        </w:rPr>
        <w:t>[18]</w:t>
      </w:r>
      <w:r>
        <w:fldChar w:fldCharType="end"/>
      </w:r>
      <w:r>
        <w:t xml:space="preserve">, by a feature selection </w:t>
      </w:r>
      <w:r w:rsidRPr="005F41E2">
        <w:t>mechanism based on variance inflation factor (VIF)</w:t>
      </w:r>
      <w:r>
        <w:t xml:space="preserve">. Moreover, the BNN model is rigorously trained through hyperparameter optimization and validated using k-fold cross-validation to achieve robust generalization and capture both aleatoric and epistemic uncertainties in the predictions. The primary contributions of this study are threefold: (1) the development of a BNN-based framework specifically tailored for predicting torsional vibration responses under varying wind conditions, addressing a significant gap in existing SHM practices for long-span suspension bridges; and (2) the implementation of VIF-based feature selection to mitigate multicollinearity, which is often overlooked in traditional wind-induced vibration modeling. </w:t>
      </w:r>
      <w:r w:rsidRPr="00CE675E">
        <w:t>Field data collected from the Hardanger Bridge in Norway</w:t>
      </w:r>
      <w:r>
        <w:t xml:space="preserve">, i.e., </w:t>
      </w:r>
      <w:r w:rsidRPr="00CE675E">
        <w:t>one of the longest suspension bridges in the world</w:t>
      </w:r>
      <w:r>
        <w:t>, are</w:t>
      </w:r>
      <w:r w:rsidRPr="00CE675E">
        <w:t xml:space="preserve"> used to validate the proposed </w:t>
      </w:r>
      <w:r>
        <w:t>method.</w:t>
      </w:r>
      <w:r w:rsidRPr="005F41E2">
        <w:t> </w:t>
      </w:r>
    </w:p>
    <w:p w14:paraId="27803965" w14:textId="275BF6AD" w:rsidR="00DC6469" w:rsidRDefault="00DC6469" w:rsidP="00DC6469">
      <w:pPr>
        <w:pStyle w:val="heading1"/>
      </w:pPr>
      <w:r w:rsidRPr="00A61234">
        <w:lastRenderedPageBreak/>
        <w:t>Proposed</w:t>
      </w:r>
      <w:r>
        <w:t xml:space="preserve"> Predictive</w:t>
      </w:r>
      <w:r w:rsidRPr="00A61234">
        <w:t xml:space="preserve"> Method</w:t>
      </w:r>
    </w:p>
    <w:p w14:paraId="1934EC21" w14:textId="736AC4BA" w:rsidR="00703369" w:rsidRDefault="00703369" w:rsidP="00DC6469">
      <w:pPr>
        <w:pStyle w:val="p1a"/>
      </w:pPr>
      <w:r w:rsidRPr="00FA73B9">
        <w:t>The proposed predictive method establishes an integrated two-stage framework,</w:t>
      </w:r>
      <w:r>
        <w:t xml:space="preserve"> </w:t>
      </w:r>
      <w:r w:rsidRPr="00FA73B9">
        <w:t xml:space="preserve">beginning with VIF-based predictor selection to tackle multicollinearity and continuing with </w:t>
      </w:r>
      <w:r>
        <w:t>the</w:t>
      </w:r>
      <w:r w:rsidRPr="00FA73B9">
        <w:t xml:space="preserve"> </w:t>
      </w:r>
      <w:r>
        <w:t>BNN</w:t>
      </w:r>
      <w:r w:rsidRPr="00FA73B9">
        <w:t xml:space="preserve"> </w:t>
      </w:r>
      <w:r>
        <w:t>for</w:t>
      </w:r>
      <w:r w:rsidRPr="00FA73B9">
        <w:t xml:space="preserve"> robust, nonlinear</w:t>
      </w:r>
      <w:r>
        <w:t xml:space="preserve"> </w:t>
      </w:r>
      <w:r w:rsidRPr="00FA73B9">
        <w:t>regression</w:t>
      </w:r>
      <w:r>
        <w:t xml:space="preserve"> modeling</w:t>
      </w:r>
      <w:r w:rsidRPr="00FA73B9">
        <w:t xml:space="preserve">. </w:t>
      </w:r>
      <w:r>
        <w:fldChar w:fldCharType="begin"/>
      </w:r>
      <w:r>
        <w:instrText xml:space="preserve"> REF _Ref198396696 \h  \* MERGEFORMAT </w:instrText>
      </w:r>
      <w:r>
        <w:fldChar w:fldCharType="separate"/>
      </w:r>
      <w:r w:rsidR="000D6914" w:rsidRPr="000D6914">
        <w:t>Fig. 1</w:t>
      </w:r>
      <w:r>
        <w:fldChar w:fldCharType="end"/>
      </w:r>
      <w:r w:rsidRPr="00FA73B9">
        <w:t xml:space="preserve"> presents the flowchart of this method, </w:t>
      </w:r>
      <w:r>
        <w:t xml:space="preserve">which </w:t>
      </w:r>
      <w:r w:rsidRPr="00FA73B9">
        <w:t>illustrat</w:t>
      </w:r>
      <w:r>
        <w:t>es</w:t>
      </w:r>
      <w:r w:rsidRPr="00FA73B9">
        <w:t xml:space="preserve"> how </w:t>
      </w:r>
      <w:r>
        <w:t xml:space="preserve">it begins with data preparation and feature </w:t>
      </w:r>
      <w:r w:rsidRPr="00FA73B9">
        <w:t>filtering, hyperparameter tuning</w:t>
      </w:r>
      <w:r>
        <w:t xml:space="preserve"> and BNN-aided regression modeling, and validation and result interpretation.</w:t>
      </w:r>
    </w:p>
    <w:p w14:paraId="176A19E4" w14:textId="77777777" w:rsidR="00703369" w:rsidRDefault="00703369" w:rsidP="00703369">
      <w:pPr>
        <w:keepNext/>
        <w:spacing w:before="360"/>
        <w:ind w:firstLine="0"/>
        <w:jc w:val="left"/>
      </w:pPr>
      <w:r>
        <w:rPr>
          <w:noProof/>
        </w:rPr>
        <w:drawing>
          <wp:inline distT="0" distB="0" distL="0" distR="0" wp14:anchorId="03EE8ADD" wp14:editId="095E4852">
            <wp:extent cx="4320000" cy="2590252"/>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2590252"/>
                    </a:xfrm>
                    <a:prstGeom prst="rect">
                      <a:avLst/>
                    </a:prstGeom>
                  </pic:spPr>
                </pic:pic>
              </a:graphicData>
            </a:graphic>
          </wp:inline>
        </w:drawing>
      </w:r>
    </w:p>
    <w:p w14:paraId="4FC996EB" w14:textId="6B0771A3" w:rsidR="00703369" w:rsidRDefault="00703369" w:rsidP="00C16A63">
      <w:pPr>
        <w:pStyle w:val="Caption"/>
      </w:pPr>
      <w:bookmarkStart w:id="1" w:name="_Ref198396696"/>
      <w:r w:rsidRPr="00703369">
        <w:rPr>
          <w:b/>
          <w:bCs/>
        </w:rPr>
        <w:t xml:space="preserve">Fig. </w:t>
      </w:r>
      <w:r w:rsidRPr="00703369">
        <w:rPr>
          <w:b/>
          <w:bCs/>
        </w:rPr>
        <w:fldChar w:fldCharType="begin"/>
      </w:r>
      <w:r w:rsidRPr="00703369">
        <w:rPr>
          <w:b/>
          <w:bCs/>
        </w:rPr>
        <w:instrText xml:space="preserve"> SEQ Fig. \* ARABIC </w:instrText>
      </w:r>
      <w:r w:rsidRPr="00703369">
        <w:rPr>
          <w:b/>
          <w:bCs/>
        </w:rPr>
        <w:fldChar w:fldCharType="separate"/>
      </w:r>
      <w:r w:rsidR="000D6914">
        <w:rPr>
          <w:b/>
          <w:bCs/>
          <w:noProof/>
        </w:rPr>
        <w:t>1</w:t>
      </w:r>
      <w:r w:rsidRPr="00703369">
        <w:rPr>
          <w:b/>
          <w:bCs/>
        </w:rPr>
        <w:fldChar w:fldCharType="end"/>
      </w:r>
      <w:bookmarkEnd w:id="1"/>
      <w:r>
        <w:t xml:space="preserve">. The flowchart of the proposed predictive method </w:t>
      </w:r>
    </w:p>
    <w:p w14:paraId="093734B6" w14:textId="3B8A03EB" w:rsidR="009E75C7" w:rsidRDefault="009E75C7" w:rsidP="009E75C7">
      <w:pPr>
        <w:pStyle w:val="p1a"/>
        <w:ind w:firstLine="227"/>
      </w:pPr>
      <w:r>
        <w:t xml:space="preserve">From </w:t>
      </w:r>
      <w:r>
        <w:fldChar w:fldCharType="begin"/>
      </w:r>
      <w:r>
        <w:instrText xml:space="preserve"> REF _Ref198396696 \h  \* MERGEFORMAT </w:instrText>
      </w:r>
      <w:r>
        <w:fldChar w:fldCharType="separate"/>
      </w:r>
      <w:r w:rsidR="000D6914" w:rsidRPr="000D6914">
        <w:t>Fig. 1</w:t>
      </w:r>
      <w:r>
        <w:fldChar w:fldCharType="end"/>
      </w:r>
      <w:r>
        <w:t xml:space="preserve">, the first stage of the proposed method is to prepare sufficient data including wind and vibration data and preprocess them for providing the wind features (predictors) and torsional vibration response </w:t>
      </w:r>
      <w:r>
        <w:fldChar w:fldCharType="begin"/>
      </w:r>
      <w:r>
        <w:instrText xml:space="preserve"> ADDIN EN.CITE &lt;EndNote&gt;&lt;Cite&gt;&lt;Author&gt;Entezami&lt;/Author&gt;&lt;Year&gt;2024&lt;/Year&gt;&lt;RecNum&gt;3081&lt;/RecNum&gt;&lt;DisplayText&gt;[18]&lt;/DisplayText&gt;&lt;record&gt;&lt;rec-number&gt;3081&lt;/rec-number&gt;&lt;foreign-keys&gt;&lt;key app="EN" db-id="ttpsppas4a5wvfea9xr529sw20d5s2r2fsss" timestamp="1732604259"&gt;3081&lt;/key&gt;&lt;/foreign-keys&gt;&lt;ref-type name="Journal Article"&gt;17&lt;/ref-type&gt;&lt;contributors&gt;&lt;authors&gt;&lt;author&gt;Entezami, Alireza&lt;/author&gt;&lt;author&gt;Sarmadi, Hassan&lt;/author&gt;&lt;/authors&gt;&lt;/contributors&gt;&lt;titles&gt;&lt;title&gt;Machine learning-aided prediction of windstorm-induced vibration responses of long-span suspension bridges&lt;/title&gt;&lt;secondary-title&gt;Computer-Aided Civil and Infrastructure Engineering&lt;/secondary-title&gt;&lt;/titles&gt;&lt;periodical&gt;&lt;full-title&gt;Computer-Aided Civil and Infrastructure Engineering&lt;/full-title&gt;&lt;abbr-1&gt;Comput. Aided Civ. Inf.&lt;/abbr-1&gt;&lt;abbr-2&gt;Comput Aided Civ Inf&lt;/abbr-2&gt;&lt;/periodical&gt;&lt;pages&gt;1-18&lt;/pages&gt;&lt;dates&gt;&lt;year&gt;2024&lt;/year&gt;&lt;pub-dates&gt;&lt;date&gt;2024/11/25&lt;/date&gt;&lt;/pub-dates&gt;&lt;/dates&gt;&lt;publisher&gt;John Wiley &amp;amp; Sons, Ltd&lt;/publisher&gt;&lt;isbn&gt;1093-9687&lt;/isbn&gt;&lt;urls&gt;&lt;related-urls&gt;&lt;url&gt;https://doi.org/10.1111/mice.13387&lt;/url&gt;&lt;/related-urls&gt;&lt;/urls&gt;&lt;electronic-resource-num&gt;https://doi.org/10.1111/mice.13387&lt;/electronic-resource-num&gt;&lt;access-date&gt;2024/11/25&lt;/access-date&gt;&lt;/record&gt;&lt;/Cite&gt;&lt;/EndNote&gt;</w:instrText>
      </w:r>
      <w:r>
        <w:fldChar w:fldCharType="separate"/>
      </w:r>
      <w:r>
        <w:rPr>
          <w:noProof/>
        </w:rPr>
        <w:t>[18]</w:t>
      </w:r>
      <w:r>
        <w:fldChar w:fldCharType="end"/>
      </w:r>
      <w:r>
        <w:t xml:space="preserve">. In the following, the VIF-based feature selection and normalization are employed to select the most appropriate wind features for torsional vibration prediction. For the second stage, the selected predictors (wind features after selection) and torsional response serve as the inputs. In this case, the k-fold cross-validation algorithm is used to tune the main hyperparameters of the BNN. Using the optimized hyperparameter, the BNN-oriented regressor is trained by using the training data, which include a fraction of the selected wind predictors and torsional response samples. The test data are the newly selected wind predictors that are incorporated into the trained BNN model for predicting unseen torsional vibration response samples. In the third stage, the residual analysis between the original and predicted response points is carried out to ensure the correctness of the prediction process. To further ensure the validation stage, some well-known performance evaluation metrics for the regression problem including the R-squared (R²), root-mean-squared-error </w:t>
      </w:r>
      <w:r>
        <w:lastRenderedPageBreak/>
        <w:t>(RMSE), and mean absolute error (MAE) are used to numerically assess the prediction accuracy. Finally, the results of the prediction process are presented and interpreted.</w:t>
      </w:r>
    </w:p>
    <w:p w14:paraId="5C22DBFB" w14:textId="47CA120D" w:rsidR="00446EE1" w:rsidRDefault="00446EE1" w:rsidP="00446EE1">
      <w:pPr>
        <w:pStyle w:val="heading2"/>
      </w:pPr>
      <w:r w:rsidRPr="00CC16BC">
        <w:t>Variance Inflation Factor</w:t>
      </w:r>
      <w:r>
        <w:t xml:space="preserve"> (VIF)</w:t>
      </w:r>
    </w:p>
    <w:p w14:paraId="5FDE28E2" w14:textId="2C4D6861" w:rsidR="00446EE1" w:rsidRDefault="00717D74" w:rsidP="00717D74">
      <w:pPr>
        <w:ind w:firstLine="0"/>
      </w:pPr>
      <w:r>
        <w:t>In the regression-oriented prediction problem, the m</w:t>
      </w:r>
      <w:r w:rsidR="00446EE1" w:rsidRPr="003502C7">
        <w:t xml:space="preserve">ulticollinearity </w:t>
      </w:r>
      <w:r>
        <w:t xml:space="preserve">occurs when two or more predictors in a regression model exhibit strong mutual correlation, leading to unstable coefficient estimates and reduced model interpretability </w:t>
      </w:r>
      <w:r>
        <w:fldChar w:fldCharType="begin"/>
      </w:r>
      <w:r>
        <w:instrText xml:space="preserve"> ADDIN EN.CITE &lt;EndNote&gt;&lt;Cite&gt;&lt;Author&gt;Alin&lt;/Author&gt;&lt;Year&gt;2010&lt;/Year&gt;&lt;RecNum&gt;2772&lt;/RecNum&gt;&lt;DisplayText&gt;[23]&lt;/DisplayText&gt;&lt;record&gt;&lt;rec-number&gt;2772&lt;/rec-number&gt;&lt;foreign-keys&gt;&lt;key app="EN" db-id="ttpsppas4a5wvfea9xr529sw20d5s2r2fsss" timestamp="1701964689"&gt;2772&lt;/key&gt;&lt;/foreign-keys&gt;&lt;ref-type name="Journal Article"&gt;17&lt;/ref-type&gt;&lt;contributors&gt;&lt;authors&gt;&lt;author&gt;Alin, Aylin&lt;/author&gt;&lt;/authors&gt;&lt;/contributors&gt;&lt;titles&gt;&lt;title&gt;Multicollinearity&lt;/title&gt;&lt;secondary-title&gt;WIREs Computational Statistics&lt;/secondary-title&gt;&lt;/titles&gt;&lt;periodical&gt;&lt;full-title&gt;WIREs Computational Statistics&lt;/full-title&gt;&lt;/periodical&gt;&lt;pages&gt;370-374&lt;/pages&gt;&lt;volume&gt;2&lt;/volume&gt;&lt;number&gt;3&lt;/number&gt;&lt;dates&gt;&lt;year&gt;2010&lt;/year&gt;&lt;/dates&gt;&lt;isbn&gt;1939-5108&lt;/isbn&gt;&lt;urls&gt;&lt;related-urls&gt;&lt;url&gt;https://wires.onlinelibrary.wiley.com/doi/abs/10.1002/wics.84&lt;/url&gt;&lt;/related-urls&gt;&lt;/urls&gt;&lt;electronic-resource-num&gt;https://doi.org/10.1002/wics.84&lt;/electronic-resource-num&gt;&lt;/record&gt;&lt;/Cite&gt;&lt;/EndNote&gt;</w:instrText>
      </w:r>
      <w:r>
        <w:fldChar w:fldCharType="separate"/>
      </w:r>
      <w:r>
        <w:rPr>
          <w:noProof/>
        </w:rPr>
        <w:t>[23]</w:t>
      </w:r>
      <w:r>
        <w:fldChar w:fldCharType="end"/>
      </w:r>
      <w:r>
        <w:t xml:space="preserve">. </w:t>
      </w:r>
      <w:r w:rsidR="00446EE1" w:rsidRPr="00102568">
        <w:t>VIF</w:t>
      </w:r>
      <w:r>
        <w:t xml:space="preserve"> is a well-established metric used to detect and quantify this problem by measuring the extent to which the variance of a regression coefficient is inflated due to collinearity with other predictors </w:t>
      </w:r>
      <w:r>
        <w:fldChar w:fldCharType="begin"/>
      </w:r>
      <w:r>
        <w:instrText xml:space="preserve"> ADDIN EN.CITE &lt;EndNote&gt;&lt;Cite&gt;&lt;Author&gt;Dormann&lt;/Author&gt;&lt;Year&gt;2013&lt;/Year&gt;&lt;RecNum&gt;3259&lt;/RecNum&gt;&lt;DisplayText&gt;[24]&lt;/DisplayText&gt;&lt;record&gt;&lt;rec-number&gt;3259&lt;/rec-number&gt;&lt;foreign-keys&gt;&lt;key app="EN" db-id="ttpsppas4a5wvfea9xr529sw20d5s2r2fsss" timestamp="1747500097"&gt;3259&lt;/key&gt;&lt;/foreign-keys&gt;&lt;ref-type name="Journal Article"&gt;17&lt;/ref-type&gt;&lt;contributors&gt;&lt;authors&gt;&lt;author&gt;Dormann, Carsten F.&lt;/author&gt;&lt;author&gt;Elith, Jane&lt;/author&gt;&lt;author&gt;Bacher, Sven&lt;/author&gt;&lt;author&gt;Buchmann, Carsten&lt;/author&gt;&lt;author&gt;Carl, Gudrun&lt;/author&gt;&lt;author&gt;Carré, Gabriel&lt;/author&gt;&lt;author&gt;Marquéz, Jaime R. García&lt;/author&gt;&lt;author&gt;Gruber, Bernd&lt;/author&gt;&lt;author&gt;Lafourcade, Bruno&lt;/author&gt;&lt;author&gt;Leitão, Pedro J.&lt;/author&gt;&lt;author&gt;Münkemüller, Tamara&lt;/author&gt;&lt;author&gt;McClean, Colin&lt;/author&gt;&lt;author&gt;Osborne, Patrick E.&lt;/author&gt;&lt;author&gt;Reineking, Björn&lt;/author&gt;&lt;author&gt;Schröder, Boris&lt;/author&gt;&lt;author&gt;Skidmore, Andrew K.&lt;/author&gt;&lt;author&gt;Zurell, Damaris&lt;/author&gt;&lt;author&gt;Lautenbach, Sven&lt;/author&gt;&lt;/authors&gt;&lt;/contributors&gt;&lt;titles&gt;&lt;title&gt;Collinearity: A review of methods to deal with it and a simulation study evaluating their performance&lt;/title&gt;&lt;secondary-title&gt;Ecography&lt;/secondary-title&gt;&lt;/titles&gt;&lt;periodical&gt;&lt;full-title&gt;Ecography&lt;/full-title&gt;&lt;abbr-1&gt;Ecography&lt;/abbr-1&gt;&lt;abbr-2&gt;Ecography&lt;/abbr-2&gt;&lt;/periodical&gt;&lt;pages&gt;27-46&lt;/pages&gt;&lt;volume&gt;36&lt;/volume&gt;&lt;number&gt;1&lt;/number&gt;&lt;dates&gt;&lt;year&gt;2013&lt;/year&gt;&lt;pub-dates&gt;&lt;date&gt;2013/01/01&lt;/date&gt;&lt;/pub-dates&gt;&lt;/dates&gt;&lt;publisher&gt;John Wiley &amp;amp; Sons, Ltd&lt;/publisher&gt;&lt;isbn&gt;0906-7590&lt;/isbn&gt;&lt;urls&gt;&lt;related-urls&gt;&lt;url&gt;https://doi.org/10.1111/j.1600-0587.2012.07348.x&lt;/url&gt;&lt;/related-urls&gt;&lt;/urls&gt;&lt;electronic-resource-num&gt;https://doi.org/10.1111/j.1600-0587.2012.07348.x&lt;/electronic-resource-num&gt;&lt;access-date&gt;2025/05/17&lt;/access-date&gt;&lt;/record&gt;&lt;/Cite&gt;&lt;/EndNote&gt;</w:instrText>
      </w:r>
      <w:r>
        <w:fldChar w:fldCharType="separate"/>
      </w:r>
      <w:r>
        <w:rPr>
          <w:noProof/>
        </w:rPr>
        <w:t>[24]</w:t>
      </w:r>
      <w:r>
        <w:fldChar w:fldCharType="end"/>
      </w:r>
      <w:r>
        <w:t xml:space="preserve">. For each predictor </w:t>
      </w:r>
      <w:r w:rsidRPr="00717D74">
        <w:rPr>
          <w:b/>
          <w:bCs/>
        </w:rPr>
        <w:t>x</w:t>
      </w:r>
      <w:r w:rsidRPr="00717D74">
        <w:rPr>
          <w:i/>
          <w:iCs/>
          <w:vertAlign w:val="subscript"/>
        </w:rPr>
        <w:t>i</w:t>
      </w:r>
      <w:r>
        <w:rPr>
          <w:b/>
          <w:bCs/>
          <w:iCs/>
        </w:rPr>
        <w:t xml:space="preserve"> </w:t>
      </w:r>
      <w:r>
        <w:t xml:space="preserve">in a set of </w:t>
      </w:r>
      <w:r w:rsidRPr="00717D74">
        <w:rPr>
          <w:rStyle w:val="katex-mathml"/>
          <w:i/>
          <w:iCs/>
        </w:rPr>
        <w:t>p</w:t>
      </w:r>
      <w:r>
        <w:t xml:space="preserve"> variables, where </w:t>
      </w:r>
      <w:proofErr w:type="spellStart"/>
      <w:r w:rsidRPr="00717D74">
        <w:rPr>
          <w:i/>
          <w:iCs/>
        </w:rPr>
        <w:t>i</w:t>
      </w:r>
      <w:proofErr w:type="spellEnd"/>
      <w:r>
        <w:t>=1,…,</w:t>
      </w:r>
      <w:r w:rsidRPr="00717D74">
        <w:rPr>
          <w:i/>
          <w:iCs/>
        </w:rPr>
        <w:t>n</w:t>
      </w:r>
      <w:r>
        <w:t xml:space="preserve">, an auxiliary regression is performed, where </w:t>
      </w:r>
      <w:r w:rsidRPr="00717D74">
        <w:rPr>
          <w:b/>
          <w:bCs/>
        </w:rPr>
        <w:t>x</w:t>
      </w:r>
      <w:r w:rsidRPr="00717D74">
        <w:rPr>
          <w:i/>
          <w:iCs/>
          <w:vertAlign w:val="subscript"/>
        </w:rPr>
        <w:t>i</w:t>
      </w:r>
      <w:r>
        <w:rPr>
          <w:rStyle w:val="vlist-s"/>
        </w:rPr>
        <w:t>​</w:t>
      </w:r>
      <w:r>
        <w:t xml:space="preserve"> is treated as the dependent variable and all other predictors </w:t>
      </w:r>
      <w:proofErr w:type="spellStart"/>
      <w:r w:rsidRPr="00717D74">
        <w:rPr>
          <w:b/>
          <w:bCs/>
        </w:rPr>
        <w:t>x</w:t>
      </w:r>
      <w:r w:rsidRPr="00717D74">
        <w:rPr>
          <w:i/>
          <w:iCs/>
          <w:vertAlign w:val="subscript"/>
        </w:rPr>
        <w:t>j</w:t>
      </w:r>
      <w:proofErr w:type="spellEnd"/>
      <w:r>
        <w:t xml:space="preserve">, where </w:t>
      </w:r>
      <w:proofErr w:type="spellStart"/>
      <w:r w:rsidRPr="00717D74">
        <w:rPr>
          <w:b/>
          <w:bCs/>
        </w:rPr>
        <w:t>x</w:t>
      </w:r>
      <w:r w:rsidRPr="00717D74">
        <w:rPr>
          <w:i/>
          <w:iCs/>
          <w:vertAlign w:val="subscript"/>
        </w:rPr>
        <w:t>j</w:t>
      </w:r>
      <w:r w:rsidRPr="00717D74">
        <w:rPr>
          <w:rFonts w:asciiTheme="majorBidi" w:hAnsiTheme="majorBidi" w:cstheme="majorBidi"/>
        </w:rPr>
        <w:t>≠</w:t>
      </w:r>
      <w:r w:rsidRPr="00717D74">
        <w:rPr>
          <w:b/>
          <w:bCs/>
        </w:rPr>
        <w:t>x</w:t>
      </w:r>
      <w:r w:rsidRPr="00717D74">
        <w:rPr>
          <w:i/>
          <w:iCs/>
          <w:vertAlign w:val="subscript"/>
        </w:rPr>
        <w:t>i</w:t>
      </w:r>
      <w:proofErr w:type="spellEnd"/>
      <w:r>
        <w:t xml:space="preserve">, serve as independent variables. </w:t>
      </w:r>
      <w:r w:rsidR="00446EE1">
        <w:t xml:space="preserve">Let </w:t>
      </w:r>
      <m:oMath>
        <m:sSubSup>
          <m:sSubSupPr>
            <m:ctrlPr>
              <w:rPr>
                <w:rFonts w:ascii="Cambria Math" w:hAnsi="Cambria Math"/>
                <w:i/>
                <w:sz w:val="18"/>
                <w:szCs w:val="18"/>
              </w:rPr>
            </m:ctrlPr>
          </m:sSubSupPr>
          <m:e>
            <m:r>
              <w:rPr>
                <w:rFonts w:ascii="Cambria Math" w:hAnsi="Cambria Math"/>
                <w:sz w:val="18"/>
                <w:szCs w:val="18"/>
              </w:rPr>
              <m:t>R</m:t>
            </m:r>
          </m:e>
          <m:sub>
            <m:r>
              <w:rPr>
                <w:rFonts w:ascii="Cambria Math" w:hAnsi="Cambria Math"/>
                <w:sz w:val="18"/>
                <w:szCs w:val="18"/>
              </w:rPr>
              <m:t>i</m:t>
            </m:r>
          </m:sub>
          <m:sup>
            <m:r>
              <w:rPr>
                <w:rFonts w:ascii="Cambria Math" w:hAnsi="Cambria Math"/>
                <w:sz w:val="18"/>
                <w:szCs w:val="18"/>
              </w:rPr>
              <m:t>2</m:t>
            </m:r>
          </m:sup>
        </m:sSubSup>
      </m:oMath>
      <w:r w:rsidR="00446EE1" w:rsidRPr="003411B8">
        <w:rPr>
          <w:sz w:val="18"/>
          <w:szCs w:val="18"/>
        </w:rPr>
        <w:t xml:space="preserve"> </w:t>
      </w:r>
      <w:r w:rsidR="00446EE1" w:rsidRPr="00005875">
        <w:t>be the coefficient of determination</w:t>
      </w:r>
      <w:r>
        <w:t xml:space="preserve"> (i.e., the R-squared metric)</w:t>
      </w:r>
      <w:r w:rsidR="00446EE1" w:rsidRPr="00005875">
        <w:t xml:space="preserve"> of this auxiliary regression.</w:t>
      </w:r>
      <w:r w:rsidR="00446EE1">
        <w:t xml:space="preserve"> </w:t>
      </w:r>
      <w:r w:rsidR="00446EE1" w:rsidRPr="00005875">
        <w:t xml:space="preserve">The VIF </w:t>
      </w:r>
      <w:r>
        <w:t xml:space="preserve">value of the </w:t>
      </w:r>
      <w:r w:rsidR="00446EE1" w:rsidRPr="00005875">
        <w:t xml:space="preserve">predictor </w:t>
      </w:r>
      <w:r w:rsidRPr="00717D74">
        <w:rPr>
          <w:b/>
          <w:bCs/>
        </w:rPr>
        <w:t>x</w:t>
      </w:r>
      <w:r w:rsidRPr="00717D74">
        <w:rPr>
          <w:i/>
          <w:iCs/>
          <w:vertAlign w:val="subscript"/>
        </w:rPr>
        <w:t>i</w:t>
      </w:r>
      <w:r>
        <w:rPr>
          <w:rStyle w:val="vlist-s"/>
        </w:rPr>
        <w:t xml:space="preserve">​ </w:t>
      </w:r>
      <w:r>
        <w:t>is then calculated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4241"/>
        <w:gridCol w:w="1366"/>
      </w:tblGrid>
      <w:tr w:rsidR="00446EE1" w:rsidRPr="000A7CB7" w14:paraId="55439122" w14:textId="77777777" w:rsidTr="00CE6F8D">
        <w:trPr>
          <w:trHeight w:val="227"/>
          <w:jc w:val="center"/>
        </w:trPr>
        <w:tc>
          <w:tcPr>
            <w:tcW w:w="1838" w:type="dxa"/>
            <w:vAlign w:val="center"/>
          </w:tcPr>
          <w:p w14:paraId="68D350DF" w14:textId="77777777" w:rsidR="00446EE1" w:rsidRPr="000A7CB7" w:rsidRDefault="00446EE1" w:rsidP="00CE6F8D">
            <w:pPr>
              <w:spacing w:before="160" w:after="160" w:line="276" w:lineRule="auto"/>
              <w:jc w:val="center"/>
            </w:pPr>
          </w:p>
        </w:tc>
        <w:tc>
          <w:tcPr>
            <w:tcW w:w="5812" w:type="dxa"/>
            <w:vAlign w:val="center"/>
          </w:tcPr>
          <w:p w14:paraId="0DD27500" w14:textId="23BC9199" w:rsidR="00446EE1" w:rsidRPr="00432910" w:rsidRDefault="00446EE1" w:rsidP="00CE6F8D">
            <w:pPr>
              <w:spacing w:before="160" w:after="160" w:line="276" w:lineRule="auto"/>
              <w:jc w:val="center"/>
              <w:rPr>
                <w:b/>
              </w:rPr>
            </w:pPr>
            <m:oMathPara>
              <m:oMath>
                <m:r>
                  <w:rPr>
                    <w:rFonts w:ascii="Cambria Math" w:hAnsi="Cambria Math"/>
                  </w:rPr>
                  <m:t>VIF</m:t>
                </m:r>
                <m:d>
                  <m:dPr>
                    <m:ctrlPr>
                      <w:rPr>
                        <w:rFonts w:ascii="Cambria Math" w:hAnsi="Cambria Math"/>
                        <w:i/>
                      </w:rPr>
                    </m:ctrlPr>
                  </m:dPr>
                  <m:e>
                    <m:sSub>
                      <m:sSubPr>
                        <m:ctrlPr>
                          <w:rPr>
                            <w:rFonts w:ascii="Cambria Math" w:hAnsi="Cambria Math"/>
                            <w:i/>
                          </w:rPr>
                        </m:ctrlPr>
                      </m:sSubPr>
                      <m:e>
                        <m:r>
                          <m:rPr>
                            <m:sty m:val="b"/>
                          </m:rP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1-</m:t>
                    </m:r>
                    <m:sSubSup>
                      <m:sSubSupPr>
                        <m:ctrlPr>
                          <w:rPr>
                            <w:rFonts w:ascii="Cambria Math" w:hAnsi="Cambria Math"/>
                            <w:i/>
                            <w:iCs/>
                          </w:rPr>
                        </m:ctrlPr>
                      </m:sSubSupPr>
                      <m:e>
                        <m:r>
                          <w:rPr>
                            <w:rFonts w:ascii="Cambria Math" w:hAnsi="Cambria Math"/>
                          </w:rPr>
                          <m:t>R</m:t>
                        </m:r>
                      </m:e>
                      <m:sub>
                        <m:r>
                          <w:rPr>
                            <w:rFonts w:ascii="Cambria Math" w:hAnsi="Cambria Math"/>
                          </w:rPr>
                          <m:t>i</m:t>
                        </m:r>
                      </m:sub>
                      <m:sup>
                        <m:r>
                          <w:rPr>
                            <w:rFonts w:ascii="Cambria Math" w:hAnsi="Cambria Math"/>
                          </w:rPr>
                          <m:t>2</m:t>
                        </m:r>
                      </m:sup>
                    </m:sSubSup>
                  </m:den>
                </m:f>
              </m:oMath>
            </m:oMathPara>
          </w:p>
        </w:tc>
        <w:tc>
          <w:tcPr>
            <w:tcW w:w="1700" w:type="dxa"/>
            <w:vAlign w:val="center"/>
          </w:tcPr>
          <w:p w14:paraId="5DDF2963" w14:textId="6FC28901" w:rsidR="00446EE1" w:rsidRPr="000A7CB7" w:rsidRDefault="00446EE1"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1</w:t>
            </w:r>
            <w:r w:rsidRPr="000A7CB7">
              <w:fldChar w:fldCharType="end"/>
            </w:r>
            <w:r w:rsidRPr="000A7CB7">
              <w:t>)</w:t>
            </w:r>
          </w:p>
        </w:tc>
      </w:tr>
    </w:tbl>
    <w:p w14:paraId="0C95EC78" w14:textId="4B4C01AE" w:rsidR="00717D74" w:rsidRDefault="00717D74" w:rsidP="005B79D4">
      <w:r>
        <w:t>Accordingly, a higher</w:t>
      </w:r>
      <w:r w:rsidR="00446EE1" w:rsidRPr="005D5801">
        <w:t xml:space="preserve"> </w:t>
      </w:r>
      <m:oMath>
        <m:sSubSup>
          <m:sSubSupPr>
            <m:ctrlPr>
              <w:rPr>
                <w:rFonts w:ascii="Cambria Math" w:hAnsi="Cambria Math"/>
                <w:i/>
                <w:sz w:val="18"/>
                <w:szCs w:val="18"/>
              </w:rPr>
            </m:ctrlPr>
          </m:sSubSupPr>
          <m:e>
            <m:r>
              <w:rPr>
                <w:rFonts w:ascii="Cambria Math" w:hAnsi="Cambria Math"/>
                <w:sz w:val="18"/>
                <w:szCs w:val="18"/>
              </w:rPr>
              <m:t>R</m:t>
            </m:r>
          </m:e>
          <m:sub>
            <m:r>
              <w:rPr>
                <w:rFonts w:ascii="Cambria Math" w:hAnsi="Cambria Math"/>
                <w:sz w:val="18"/>
                <w:szCs w:val="18"/>
              </w:rPr>
              <m:t>i</m:t>
            </m:r>
          </m:sub>
          <m:sup>
            <m:r>
              <w:rPr>
                <w:rFonts w:ascii="Cambria Math" w:hAnsi="Cambria Math"/>
                <w:sz w:val="18"/>
                <w:szCs w:val="18"/>
              </w:rPr>
              <m:t>2</m:t>
            </m:r>
          </m:sup>
        </m:sSubSup>
      </m:oMath>
      <w:r w:rsidR="00446EE1" w:rsidRPr="005D5801">
        <w:t xml:space="preserve"> indicates that</w:t>
      </w:r>
      <w:r w:rsidRPr="00005875">
        <w:t xml:space="preserve"> </w:t>
      </w:r>
      <w:r w:rsidRPr="00717D74">
        <w:rPr>
          <w:b/>
          <w:bCs/>
        </w:rPr>
        <w:t>x</w:t>
      </w:r>
      <w:r w:rsidRPr="00717D74">
        <w:rPr>
          <w:i/>
          <w:iCs/>
          <w:vertAlign w:val="subscript"/>
        </w:rPr>
        <w:t>i</w:t>
      </w:r>
      <w:r>
        <w:rPr>
          <w:rStyle w:val="vlist-s"/>
        </w:rPr>
        <w:t xml:space="preserve">​ </w:t>
      </w:r>
      <w:r w:rsidR="00446EE1" w:rsidRPr="005D5801">
        <w:t xml:space="preserve">is closely explained by the remaining predictors, </w:t>
      </w:r>
      <w:r>
        <w:t>resulting in a larger VIF and signaling strong multicollinearity</w:t>
      </w:r>
      <w:r w:rsidR="00446EE1" w:rsidRPr="00102568">
        <w:t xml:space="preserve">. Furthermore, </w:t>
      </w:r>
      <w:r>
        <w:t xml:space="preserve">In the </w:t>
      </w:r>
      <w:r w:rsidRPr="00717D74">
        <w:rPr>
          <w:rStyle w:val="Strong"/>
          <w:b w:val="0"/>
          <w:bCs w:val="0"/>
        </w:rPr>
        <w:t>feature selection mode</w:t>
      </w:r>
      <w:r>
        <w:t xml:space="preserve">, predictors with VIF values exceeding a specific threshold (i.e., commonly set to 5 or 10) are considered highly multicollinear and are recommended for removal or further investigation </w:t>
      </w:r>
      <w:r>
        <w:fldChar w:fldCharType="begin"/>
      </w:r>
      <w:r>
        <w:instrText xml:space="preserve"> ADDIN EN.CITE &lt;EndNote&gt;&lt;Cite&gt;&lt;Author&gt;Alin&lt;/Author&gt;&lt;Year&gt;2010&lt;/Year&gt;&lt;RecNum&gt;2772&lt;/RecNum&gt;&lt;DisplayText&gt;[23]&lt;/DisplayText&gt;&lt;record&gt;&lt;rec-number&gt;2772&lt;/rec-number&gt;&lt;foreign-keys&gt;&lt;key app="EN" db-id="ttpsppas4a5wvfea9xr529sw20d5s2r2fsss" timestamp="1701964689"&gt;2772&lt;/key&gt;&lt;/foreign-keys&gt;&lt;ref-type name="Journal Article"&gt;17&lt;/ref-type&gt;&lt;contributors&gt;&lt;authors&gt;&lt;author&gt;Alin, Aylin&lt;/author&gt;&lt;/authors&gt;&lt;/contributors&gt;&lt;titles&gt;&lt;title&gt;Multicollinearity&lt;/title&gt;&lt;secondary-title&gt;WIREs Computational Statistics&lt;/secondary-title&gt;&lt;/titles&gt;&lt;periodical&gt;&lt;full-title&gt;WIREs Computational Statistics&lt;/full-title&gt;&lt;/periodical&gt;&lt;pages&gt;370-374&lt;/pages&gt;&lt;volume&gt;2&lt;/volume&gt;&lt;number&gt;3&lt;/number&gt;&lt;dates&gt;&lt;year&gt;2010&lt;/year&gt;&lt;/dates&gt;&lt;isbn&gt;1939-5108&lt;/isbn&gt;&lt;urls&gt;&lt;related-urls&gt;&lt;url&gt;https://wires.onlinelibrary.wiley.com/doi/abs/10.1002/wics.84&lt;/url&gt;&lt;/related-urls&gt;&lt;/urls&gt;&lt;electronic-resource-num&gt;https://doi.org/10.1002/wics.84&lt;/electronic-resource-num&gt;&lt;/record&gt;&lt;/Cite&gt;&lt;/EndNote&gt;</w:instrText>
      </w:r>
      <w:r>
        <w:fldChar w:fldCharType="separate"/>
      </w:r>
      <w:r>
        <w:rPr>
          <w:noProof/>
        </w:rPr>
        <w:t>[23]</w:t>
      </w:r>
      <w:r>
        <w:fldChar w:fldCharType="end"/>
      </w:r>
      <w:r>
        <w:t>.</w:t>
      </w:r>
      <w:r w:rsidR="005B79D4">
        <w:t xml:space="preserve"> This step enhances the stability of the regression modeling and reduces the sensitivity to irrelevant predictors, thereby improving the overall reliability of the regression model.</w:t>
      </w:r>
    </w:p>
    <w:p w14:paraId="1CBFD897" w14:textId="77777777" w:rsidR="00446EE1" w:rsidRPr="00FA73B9" w:rsidRDefault="00446EE1" w:rsidP="00446EE1">
      <w:pPr>
        <w:pStyle w:val="heading2"/>
      </w:pPr>
      <w:r>
        <w:t>Normalization</w:t>
      </w:r>
    </w:p>
    <w:p w14:paraId="6FB7B191" w14:textId="72DE65B0" w:rsidR="00446EE1" w:rsidRDefault="000C59CF" w:rsidP="000C59CF">
      <w:pPr>
        <w:ind w:firstLine="0"/>
      </w:pPr>
      <w:r>
        <w:t xml:space="preserve">Normalization is a crucial preprocessing step for enhancing the performance and stability of predictive models, particularly when predictors differ significantly in scale or measurement units </w:t>
      </w:r>
      <w:r>
        <w:fldChar w:fldCharType="begin"/>
      </w:r>
      <w:r>
        <w:instrText xml:space="preserve"> ADDIN EN.CITE &lt;EndNote&gt;&lt;Cite&gt;&lt;Author&gt;Goodfellow&lt;/Author&gt;&lt;Year&gt;2016&lt;/Year&gt;&lt;RecNum&gt;1269&lt;/RecNum&gt;&lt;DisplayText&gt;[25]&lt;/DisplayText&gt;&lt;record&gt;&lt;rec-number&gt;1269&lt;/rec-number&gt;&lt;foreign-keys&gt;&lt;key app="EN" db-id="ttpsppas4a5wvfea9xr529sw20d5s2r2fsss" timestamp="0"&gt;1269&lt;/key&gt;&lt;/foreign-keys&gt;&lt;ref-type name="Book"&gt;6&lt;/ref-type&gt;&lt;contributors&gt;&lt;authors&gt;&lt;author&gt;Goodfellow, I.&lt;/author&gt;&lt;author&gt;Bengio, Y.&lt;/author&gt;&lt;author&gt;Courville, A.&lt;/author&gt;&lt;/authors&gt;&lt;/contributors&gt;&lt;titles&gt;&lt;title&gt;Deep Learning&lt;/title&gt;&lt;/titles&gt;&lt;dates&gt;&lt;year&gt;2016&lt;/year&gt;&lt;/dates&gt;&lt;pub-location&gt;Cambridge, Massachusetts, United States&lt;/pub-location&gt;&lt;publisher&gt;MIT Press&lt;/publisher&gt;&lt;isbn&gt;9780262035613&lt;/isbn&gt;&lt;urls&gt;&lt;related-urls&gt;&lt;url&gt;https://books.google.com/books?id=Np9SDQAAQBAJ&lt;/url&gt;&lt;/related-urls&gt;&lt;/urls&gt;&lt;/record&gt;&lt;/Cite&gt;&lt;/EndNote&gt;</w:instrText>
      </w:r>
      <w:r>
        <w:fldChar w:fldCharType="separate"/>
      </w:r>
      <w:r>
        <w:rPr>
          <w:noProof/>
        </w:rPr>
        <w:t>[25]</w:t>
      </w:r>
      <w:r>
        <w:fldChar w:fldCharType="end"/>
      </w:r>
      <w:r>
        <w:t>.  The primary objective of normalization, specifically standardization, is to transform each predictor to have a mean of zero and a standard deviation of one. This adjustment prevents predictors with larger numerical ranges from disproportionately influencing the model. Accordingly, the standardization of each predictor is performed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4244"/>
        <w:gridCol w:w="1365"/>
      </w:tblGrid>
      <w:tr w:rsidR="00446EE1" w:rsidRPr="000A7CB7" w14:paraId="6CF1D798" w14:textId="77777777" w:rsidTr="00CE6F8D">
        <w:trPr>
          <w:trHeight w:val="227"/>
          <w:jc w:val="center"/>
        </w:trPr>
        <w:tc>
          <w:tcPr>
            <w:tcW w:w="1838" w:type="dxa"/>
            <w:vAlign w:val="center"/>
          </w:tcPr>
          <w:p w14:paraId="752408ED" w14:textId="77777777" w:rsidR="00446EE1" w:rsidRPr="000A7CB7" w:rsidRDefault="00446EE1" w:rsidP="00CE6F8D">
            <w:pPr>
              <w:spacing w:before="160" w:after="160" w:line="276" w:lineRule="auto"/>
              <w:jc w:val="center"/>
            </w:pPr>
          </w:p>
        </w:tc>
        <w:tc>
          <w:tcPr>
            <w:tcW w:w="5812" w:type="dxa"/>
            <w:vAlign w:val="center"/>
          </w:tcPr>
          <w:p w14:paraId="027752AE" w14:textId="2D33D98A" w:rsidR="00446EE1" w:rsidRPr="00432910" w:rsidRDefault="00000000" w:rsidP="00CE6F8D">
            <w:pPr>
              <w:spacing w:before="160" w:after="160" w:line="276" w:lineRule="auto"/>
              <w:jc w:val="center"/>
              <w:rPr>
                <w:b/>
              </w:rPr>
            </w:pPr>
            <m:oMathPara>
              <m:oMath>
                <m:sSub>
                  <m:sSubPr>
                    <m:ctrlPr>
                      <w:rPr>
                        <w:rFonts w:ascii="Cambria Math" w:hAnsi="Cambria Math" w:cstheme="majorBidi"/>
                        <w:i/>
                      </w:rPr>
                    </m:ctrlPr>
                  </m:sSubPr>
                  <m:e>
                    <m:acc>
                      <m:accPr>
                        <m:chr m:val="̃"/>
                        <m:ctrlPr>
                          <w:rPr>
                            <w:rFonts w:ascii="Cambria Math" w:hAnsi="Cambria Math" w:cstheme="majorBidi"/>
                            <w:i/>
                          </w:rPr>
                        </m:ctrlPr>
                      </m:accPr>
                      <m:e>
                        <m:r>
                          <w:rPr>
                            <w:rFonts w:ascii="Cambria Math" w:hAnsi="Cambria Math" w:cstheme="majorBidi"/>
                          </w:rPr>
                          <m:t>x</m:t>
                        </m:r>
                      </m:e>
                    </m:acc>
                  </m:e>
                  <m:sub>
                    <m:r>
                      <w:rPr>
                        <w:rFonts w:ascii="Cambria Math" w:hAnsi="Cambria Math" w:cstheme="majorBidi"/>
                      </w:rPr>
                      <m:t>ij</m:t>
                    </m:r>
                  </m:sub>
                </m:sSub>
                <m:r>
                  <w:rPr>
                    <w:rFonts w:ascii="Cambria Math" w:hAnsi="Cambria Math" w:cstheme="majorBidi"/>
                  </w:rPr>
                  <m:t>=</m:t>
                </m:r>
                <m:f>
                  <m:fPr>
                    <m:ctrlPr>
                      <w:rPr>
                        <w:rFonts w:ascii="Cambria Math" w:hAnsi="Cambria Math" w:cstheme="majorBidi"/>
                        <w:i/>
                      </w:rPr>
                    </m:ctrlPr>
                  </m:fPr>
                  <m:num>
                    <m:sSub>
                      <m:sSubPr>
                        <m:ctrlPr>
                          <w:rPr>
                            <w:rFonts w:ascii="Cambria Math" w:hAnsi="Cambria Math" w:cstheme="majorBidi"/>
                            <w:i/>
                          </w:rPr>
                        </m:ctrlPr>
                      </m:sSubPr>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ij</m:t>
                            </m:r>
                          </m:sub>
                        </m:sSub>
                        <m:r>
                          <w:rPr>
                            <w:rFonts w:ascii="Cambria Math" w:hAnsi="Cambria Math" w:cstheme="majorBidi"/>
                          </w:rPr>
                          <m:t xml:space="preserve"> </m:t>
                        </m:r>
                      </m:e>
                      <m:sub>
                        <m:r>
                          <w:rPr>
                            <w:rFonts w:ascii="Cambria Math" w:hAnsi="Cambria Math" w:cstheme="majorBidi"/>
                          </w:rPr>
                          <m:t xml:space="preserve"> -</m:t>
                        </m:r>
                      </m:sub>
                    </m:sSub>
                    <m:sSub>
                      <m:sSubPr>
                        <m:ctrlPr>
                          <w:rPr>
                            <w:rFonts w:ascii="Cambria Math" w:hAnsi="Cambria Math" w:cstheme="majorBidi"/>
                            <w:i/>
                          </w:rPr>
                        </m:ctrlPr>
                      </m:sSubPr>
                      <m:e>
                        <m:r>
                          <w:rPr>
                            <w:rFonts w:ascii="Cambria Math" w:hAnsi="Cambria Math" w:cstheme="majorBidi"/>
                          </w:rPr>
                          <m:t>μ</m:t>
                        </m:r>
                      </m:e>
                      <m:sub>
                        <m:r>
                          <w:rPr>
                            <w:rFonts w:ascii="Cambria Math" w:hAnsi="Cambria Math" w:cstheme="majorBidi"/>
                          </w:rPr>
                          <m:t>j</m:t>
                        </m:r>
                      </m:sub>
                    </m:sSub>
                  </m:num>
                  <m:den>
                    <m:sSub>
                      <m:sSubPr>
                        <m:ctrlPr>
                          <w:rPr>
                            <w:rFonts w:ascii="Cambria Math" w:hAnsi="Cambria Math" w:cstheme="majorBidi"/>
                            <w:i/>
                          </w:rPr>
                        </m:ctrlPr>
                      </m:sSubPr>
                      <m:e>
                        <m:r>
                          <w:rPr>
                            <w:rFonts w:ascii="Cambria Math" w:hAnsi="Cambria Math" w:cstheme="majorBidi"/>
                          </w:rPr>
                          <m:t>σ</m:t>
                        </m:r>
                      </m:e>
                      <m:sub>
                        <m:r>
                          <w:rPr>
                            <w:rFonts w:ascii="Cambria Math" w:hAnsi="Cambria Math" w:cstheme="majorBidi"/>
                          </w:rPr>
                          <m:t>j</m:t>
                        </m:r>
                      </m:sub>
                    </m:sSub>
                  </m:den>
                </m:f>
              </m:oMath>
            </m:oMathPara>
          </w:p>
        </w:tc>
        <w:tc>
          <w:tcPr>
            <w:tcW w:w="1700" w:type="dxa"/>
            <w:vAlign w:val="center"/>
          </w:tcPr>
          <w:p w14:paraId="36AB83F3" w14:textId="734587A9" w:rsidR="00446EE1" w:rsidRPr="000A7CB7" w:rsidRDefault="00446EE1"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2</w:t>
            </w:r>
            <w:r w:rsidRPr="000A7CB7">
              <w:fldChar w:fldCharType="end"/>
            </w:r>
            <w:r w:rsidRPr="000A7CB7">
              <w:t>)</w:t>
            </w:r>
          </w:p>
        </w:tc>
      </w:tr>
    </w:tbl>
    <w:p w14:paraId="021DC677" w14:textId="4C69B1A1" w:rsidR="0092205C" w:rsidRDefault="00446EE1" w:rsidP="0092205C">
      <w:pPr>
        <w:ind w:firstLine="0"/>
      </w:pPr>
      <w:r>
        <w:t>w</w:t>
      </w:r>
      <w:r w:rsidRPr="008E395E">
        <w:t>here</w:t>
      </w:r>
      <w:r>
        <w:t xml:space="preserve"> </w:t>
      </w:r>
      <w:proofErr w:type="spellStart"/>
      <w:r w:rsidRPr="00DB190E">
        <w:rPr>
          <w:i/>
          <w:iCs/>
        </w:rPr>
        <w:t>x</w:t>
      </w:r>
      <w:r w:rsidRPr="00DB190E">
        <w:rPr>
          <w:i/>
          <w:iCs/>
          <w:vertAlign w:val="subscript"/>
        </w:rPr>
        <w:t>ij</w:t>
      </w:r>
      <w:proofErr w:type="spellEnd"/>
      <w:r>
        <w:t xml:space="preserve"> </w:t>
      </w:r>
      <w:r w:rsidRPr="008E395E">
        <w:t xml:space="preserve"> represents the original value of the</w:t>
      </w:r>
      <w:r>
        <w:t xml:space="preserve"> </w:t>
      </w:r>
      <w:proofErr w:type="spellStart"/>
      <w:r w:rsidRPr="00DB190E">
        <w:rPr>
          <w:i/>
          <w:iCs/>
        </w:rPr>
        <w:t>j</w:t>
      </w:r>
      <w:r w:rsidRPr="00DB190E">
        <w:rPr>
          <w:vertAlign w:val="superscript"/>
        </w:rPr>
        <w:t>th</w:t>
      </w:r>
      <w:proofErr w:type="spellEnd"/>
      <w:r>
        <w:t xml:space="preserve"> </w:t>
      </w:r>
      <w:r w:rsidRPr="008E395E">
        <w:t xml:space="preserve">predictor for the </w:t>
      </w:r>
      <w:proofErr w:type="spellStart"/>
      <w:r>
        <w:rPr>
          <w:i/>
          <w:iCs/>
        </w:rPr>
        <w:t>i</w:t>
      </w:r>
      <w:r w:rsidRPr="00DB190E">
        <w:rPr>
          <w:vertAlign w:val="superscript"/>
        </w:rPr>
        <w:t>th</w:t>
      </w:r>
      <w:proofErr w:type="spellEnd"/>
      <w:r>
        <w:t xml:space="preserve"> </w:t>
      </w:r>
      <w:r w:rsidRPr="008E395E">
        <w:t>observation,</w:t>
      </w:r>
      <w:r w:rsidR="0092205C">
        <w:t xml:space="preserve"> where </w:t>
      </w:r>
      <w:proofErr w:type="spellStart"/>
      <w:r w:rsidR="0092205C" w:rsidRPr="0092205C">
        <w:rPr>
          <w:i/>
          <w:iCs/>
        </w:rPr>
        <w:t>i</w:t>
      </w:r>
      <w:proofErr w:type="spellEnd"/>
      <w:r w:rsidR="0092205C">
        <w:t>=1,…,</w:t>
      </w:r>
      <w:r w:rsidR="0092205C" w:rsidRPr="0092205C">
        <w:rPr>
          <w:i/>
          <w:iCs/>
        </w:rPr>
        <w:t>n</w:t>
      </w:r>
      <w:r w:rsidR="0092205C">
        <w:t xml:space="preserve"> and </w:t>
      </w:r>
      <w:r w:rsidR="0092205C" w:rsidRPr="0092205C">
        <w:rPr>
          <w:i/>
          <w:iCs/>
        </w:rPr>
        <w:t>j</w:t>
      </w:r>
      <w:r w:rsidR="0092205C">
        <w:t>=1,…,</w:t>
      </w:r>
      <w:r w:rsidR="0092205C" w:rsidRPr="0092205C">
        <w:rPr>
          <w:i/>
          <w:iCs/>
        </w:rPr>
        <w:t>p</w:t>
      </w:r>
      <w:r w:rsidR="0092205C">
        <w:t>;</w:t>
      </w:r>
      <w:r>
        <w:t xml:space="preserve"> </w:t>
      </w:r>
      <w:proofErr w:type="spellStart"/>
      <w:r w:rsidRPr="00DB190E">
        <w:rPr>
          <w:i/>
          <w:iCs/>
        </w:rPr>
        <w:t>μ</w:t>
      </w:r>
      <w:r w:rsidRPr="00DB190E">
        <w:rPr>
          <w:i/>
          <w:iCs/>
          <w:vertAlign w:val="subscript"/>
        </w:rPr>
        <w:t>j</w:t>
      </w:r>
      <w:proofErr w:type="spellEnd"/>
      <w:r w:rsidRPr="008E395E">
        <w:t xml:space="preserve"> the mean of the</w:t>
      </w:r>
      <w:r>
        <w:t xml:space="preserve"> </w:t>
      </w:r>
      <w:proofErr w:type="spellStart"/>
      <w:r w:rsidRPr="00DB190E">
        <w:rPr>
          <w:i/>
          <w:iCs/>
        </w:rPr>
        <w:t>j</w:t>
      </w:r>
      <w:r w:rsidRPr="00DB190E">
        <w:rPr>
          <w:vertAlign w:val="superscript"/>
        </w:rPr>
        <w:t>th</w:t>
      </w:r>
      <w:proofErr w:type="spellEnd"/>
      <w:r w:rsidRPr="008E395E">
        <w:t xml:space="preserve"> predictor, and</w:t>
      </w:r>
      <w:r>
        <w:t xml:space="preserve"> </w:t>
      </w:r>
      <w:proofErr w:type="spellStart"/>
      <w:r w:rsidRPr="00DB190E">
        <w:rPr>
          <w:i/>
          <w:iCs/>
        </w:rPr>
        <w:t>σ</w:t>
      </w:r>
      <w:r w:rsidRPr="00DB190E">
        <w:rPr>
          <w:i/>
          <w:iCs/>
          <w:vertAlign w:val="subscript"/>
        </w:rPr>
        <w:t>j</w:t>
      </w:r>
      <w:proofErr w:type="spellEnd"/>
      <w:r>
        <w:t xml:space="preserve"> </w:t>
      </w:r>
      <w:r w:rsidRPr="008E395E">
        <w:t xml:space="preserve">is its standard deviation. </w:t>
      </w:r>
      <w:r w:rsidR="0092205C">
        <w:t xml:space="preserve">This process ensures that each predictor is centered around zero with a unit variance, enhancing numerical stability and optimizing convergence during model training. In addition, the same normalization technique is applied to the response variables (e.g., </w:t>
      </w:r>
      <w:r w:rsidR="0092205C">
        <w:lastRenderedPageBreak/>
        <w:t xml:space="preserve">the torsional </w:t>
      </w:r>
      <w:r w:rsidR="004B79FB">
        <w:t>root-mean-square (RMS)</w:t>
      </w:r>
      <w:r w:rsidR="0092205C">
        <w:t xml:space="preserve"> values) to maintain consistency across all input and output data processed by the predictive model.</w:t>
      </w:r>
    </w:p>
    <w:p w14:paraId="06696A8A" w14:textId="04D6E602" w:rsidR="00446EE1" w:rsidRDefault="00446EE1" w:rsidP="00446EE1">
      <w:pPr>
        <w:pStyle w:val="heading2"/>
      </w:pPr>
      <w:r w:rsidRPr="00C643DC">
        <w:t xml:space="preserve">Hyperparameter </w:t>
      </w:r>
      <w:r>
        <w:t>Optimization</w:t>
      </w:r>
    </w:p>
    <w:p w14:paraId="113BB541" w14:textId="3AC942E9" w:rsidR="00F715D5" w:rsidRDefault="00F715D5" w:rsidP="00F715D5">
      <w:pPr>
        <w:pStyle w:val="p1a"/>
      </w:pPr>
      <w:r>
        <w:t xml:space="preserve">Hyperparameter optimization is a crucial step in enhancing the predictive performance and generalizability of machine learning models. It systematically evaluates various combinations of algorithm parameters before the final model training stage, ensuring optimal configuration for robust predictions. In this study, hyperparameter optimization is conducted using a structured grid search strategy coupled with the k-fold cross-validation algorithm </w:t>
      </w:r>
      <w:r>
        <w:fldChar w:fldCharType="begin"/>
      </w:r>
      <w:r>
        <w:instrText xml:space="preserve"> ADDIN EN.CITE &lt;EndNote&gt;&lt;Cite&gt;&lt;Author&gt;Bergstra&lt;/Author&gt;&lt;Year&gt;2012&lt;/Year&gt;&lt;RecNum&gt;3260&lt;/RecNum&gt;&lt;DisplayText&gt;[26]&lt;/DisplayText&gt;&lt;record&gt;&lt;rec-number&gt;3260&lt;/rec-number&gt;&lt;foreign-keys&gt;&lt;key app="EN" db-id="ttpsppas4a5wvfea9xr529sw20d5s2r2fsss" timestamp="1747500946"&gt;3260&lt;/key&gt;&lt;/foreign-keys&gt;&lt;ref-type name="Journal Article"&gt;17&lt;/ref-type&gt;&lt;contributors&gt;&lt;authors&gt;&lt;author&gt;Bergstra, James&lt;/author&gt;&lt;author&gt;Bengio, Yoshua&lt;/author&gt;&lt;/authors&gt;&lt;/contributors&gt;&lt;titles&gt;&lt;title&gt;Random search for hyper-parameter optimization&lt;/title&gt;&lt;secondary-title&gt;The Journal of Machine Learning Research&lt;/secondary-title&gt;&lt;/titles&gt;&lt;periodical&gt;&lt;full-title&gt;The journal of machine learning research&lt;/full-title&gt;&lt;/periodical&gt;&lt;pages&gt;281-305&lt;/pages&gt;&lt;volume&gt;13&lt;/volume&gt;&lt;number&gt;1&lt;/number&gt;&lt;dates&gt;&lt;year&gt;2012&lt;/year&gt;&lt;/dates&gt;&lt;isbn&gt;1532-4435&lt;/isbn&gt;&lt;urls&gt;&lt;/urls&gt;&lt;electronic-resource-num&gt;https://doi.org/10.5555/2188385.2188395&lt;/electronic-resource-num&gt;&lt;/record&gt;&lt;/Cite&gt;&lt;/EndNote&gt;</w:instrText>
      </w:r>
      <w:r>
        <w:fldChar w:fldCharType="separate"/>
      </w:r>
      <w:r>
        <w:rPr>
          <w:noProof/>
        </w:rPr>
        <w:t>[26]</w:t>
      </w:r>
      <w:r>
        <w:fldChar w:fldCharType="end"/>
      </w:r>
      <w:r>
        <w:t>.</w:t>
      </w:r>
      <w:r w:rsidRPr="00F715D5">
        <w:t xml:space="preserve"> </w:t>
      </w:r>
      <w:r>
        <w:t xml:space="preserve">The main objective of hyperparameter search is to identify the best parameter combination for elements such as neural network architecture, learning rates, dropout probabilities, and regularization strengths. A systematic grid search explores different configurations within the defined hyperparameter space, assessing each combination performance using cross-validation. Specifically, various network structures, learning rates, dropout probabilities, and </w:t>
      </w:r>
      <w:r w:rsidRPr="00F715D5">
        <w:rPr>
          <w:i/>
          <w:iCs/>
        </w:rPr>
        <w:t>L</w:t>
      </w:r>
      <w:r w:rsidRPr="00F715D5">
        <w:rPr>
          <w:vertAlign w:val="subscript"/>
        </w:rPr>
        <w:t>2</w:t>
      </w:r>
      <w:r>
        <w:t xml:space="preserve"> regularization terms are tested iteratively.</w:t>
      </w:r>
    </w:p>
    <w:p w14:paraId="5618C4C7" w14:textId="370BD246" w:rsidR="00F715D5" w:rsidRDefault="00F715D5" w:rsidP="00F4186A">
      <w:r>
        <w:t xml:space="preserve">The evaluation process employs </w:t>
      </w:r>
      <w:r w:rsidRPr="00F715D5">
        <w:rPr>
          <w:rStyle w:val="Strong"/>
          <w:b w:val="0"/>
          <w:bCs w:val="0"/>
        </w:rPr>
        <w:t>k-fold cross-validation</w:t>
      </w:r>
      <w:r>
        <w:t xml:space="preserve">, where the training dataset </w:t>
      </w:r>
      <w:r>
        <w:rPr>
          <w:rStyle w:val="katex-mathml"/>
        </w:rPr>
        <w:t>(</w:t>
      </w:r>
      <w:proofErr w:type="spellStart"/>
      <w:r w:rsidRPr="00F715D5">
        <w:rPr>
          <w:rStyle w:val="katex-mathml"/>
          <w:b/>
          <w:bCs/>
        </w:rPr>
        <w:t>X</w:t>
      </w:r>
      <w:r>
        <w:rPr>
          <w:rStyle w:val="katex-mathml"/>
        </w:rPr>
        <w:t>,</w:t>
      </w:r>
      <w:r w:rsidRPr="00F715D5">
        <w:rPr>
          <w:rStyle w:val="katex-mathml"/>
          <w:b/>
          <w:bCs/>
        </w:rPr>
        <w:t>y</w:t>
      </w:r>
      <w:proofErr w:type="spellEnd"/>
      <w:r>
        <w:rPr>
          <w:rStyle w:val="katex-mathml"/>
        </w:rPr>
        <w:t xml:space="preserve">) </w:t>
      </w:r>
      <w:r>
        <w:t xml:space="preserve">is divided into </w:t>
      </w:r>
      <w:r w:rsidRPr="00F715D5">
        <w:rPr>
          <w:rStyle w:val="katex-mathml"/>
          <w:i/>
          <w:iCs/>
        </w:rPr>
        <w:t>k</w:t>
      </w:r>
      <w:r>
        <w:t xml:space="preserve"> subsets (folds). For each iteration, one subset serves as the validation set </w:t>
      </w:r>
      <w:r w:rsidR="00F4186A">
        <w:rPr>
          <w:rStyle w:val="katex-mathml"/>
        </w:rPr>
        <w:t>(</w:t>
      </w:r>
      <m:oMath>
        <m:sSubSup>
          <m:sSubSupPr>
            <m:ctrlPr>
              <w:rPr>
                <w:rStyle w:val="katex-mathml"/>
                <w:rFonts w:ascii="Cambria Math" w:hAnsi="Cambria Math"/>
                <w:b/>
                <w:bCs/>
                <w:iCs/>
                <w:sz w:val="19"/>
                <w:szCs w:val="19"/>
              </w:rPr>
            </m:ctrlPr>
          </m:sSubSupPr>
          <m:e>
            <m:r>
              <m:rPr>
                <m:sty m:val="b"/>
              </m:rPr>
              <w:rPr>
                <w:rStyle w:val="katex-mathml"/>
                <w:rFonts w:ascii="Cambria Math" w:hAnsi="Cambria Math"/>
                <w:sz w:val="19"/>
                <w:szCs w:val="19"/>
              </w:rPr>
              <m:t>X</m:t>
            </m:r>
          </m:e>
          <m:sub>
            <m:r>
              <m:rPr>
                <m:sty m:val="p"/>
              </m:rPr>
              <w:rPr>
                <w:rStyle w:val="katex-mathml"/>
                <w:rFonts w:ascii="Cambria Math" w:hAnsi="Cambria Math"/>
                <w:sz w:val="19"/>
                <w:szCs w:val="19"/>
              </w:rPr>
              <m:t>val</m:t>
            </m:r>
          </m:sub>
          <m:sup>
            <m:d>
              <m:dPr>
                <m:ctrlPr>
                  <w:rPr>
                    <w:rStyle w:val="katex-mathml"/>
                    <w:rFonts w:ascii="Cambria Math" w:hAnsi="Cambria Math"/>
                    <w:b/>
                    <w:bCs/>
                    <w:i/>
                    <w:iCs/>
                    <w:sz w:val="19"/>
                    <w:szCs w:val="19"/>
                  </w:rPr>
                </m:ctrlPr>
              </m:dPr>
              <m:e>
                <m:r>
                  <w:rPr>
                    <w:rStyle w:val="katex-mathml"/>
                    <w:rFonts w:ascii="Cambria Math" w:hAnsi="Cambria Math"/>
                    <w:sz w:val="19"/>
                    <w:szCs w:val="19"/>
                  </w:rPr>
                  <m:t>r</m:t>
                </m:r>
              </m:e>
            </m:d>
          </m:sup>
        </m:sSubSup>
      </m:oMath>
      <w:r w:rsidR="00F4186A">
        <w:rPr>
          <w:rStyle w:val="katex-mathml"/>
        </w:rPr>
        <w:t>,</w:t>
      </w:r>
      <w:r w:rsidR="00F4186A" w:rsidRPr="00F4186A">
        <w:rPr>
          <w:rStyle w:val="katex-mathml"/>
          <w:rFonts w:ascii="Cambria Math" w:hAnsi="Cambria Math"/>
          <w:b/>
          <w:bCs/>
          <w:iCs/>
        </w:rPr>
        <w:t xml:space="preserve"> </w:t>
      </w:r>
      <m:oMath>
        <m:sSubSup>
          <m:sSubSupPr>
            <m:ctrlPr>
              <w:rPr>
                <w:rStyle w:val="katex-mathml"/>
                <w:rFonts w:ascii="Cambria Math" w:hAnsi="Cambria Math"/>
                <w:b/>
                <w:bCs/>
                <w:iCs/>
                <w:sz w:val="19"/>
                <w:szCs w:val="19"/>
              </w:rPr>
            </m:ctrlPr>
          </m:sSubSupPr>
          <m:e>
            <m:r>
              <m:rPr>
                <m:sty m:val="b"/>
              </m:rPr>
              <w:rPr>
                <w:rStyle w:val="katex-mathml"/>
                <w:rFonts w:ascii="Cambria Math" w:hAnsi="Cambria Math"/>
                <w:sz w:val="19"/>
                <w:szCs w:val="19"/>
              </w:rPr>
              <m:t>y</m:t>
            </m:r>
          </m:e>
          <m:sub>
            <m:r>
              <m:rPr>
                <m:sty m:val="p"/>
              </m:rPr>
              <w:rPr>
                <w:rStyle w:val="katex-mathml"/>
                <w:rFonts w:ascii="Cambria Math" w:hAnsi="Cambria Math"/>
                <w:sz w:val="19"/>
                <w:szCs w:val="19"/>
              </w:rPr>
              <m:t>val</m:t>
            </m:r>
          </m:sub>
          <m:sup>
            <m:d>
              <m:dPr>
                <m:ctrlPr>
                  <w:rPr>
                    <w:rStyle w:val="katex-mathml"/>
                    <w:rFonts w:ascii="Cambria Math" w:hAnsi="Cambria Math"/>
                    <w:b/>
                    <w:bCs/>
                    <w:i/>
                    <w:iCs/>
                    <w:sz w:val="19"/>
                    <w:szCs w:val="19"/>
                  </w:rPr>
                </m:ctrlPr>
              </m:dPr>
              <m:e>
                <m:r>
                  <w:rPr>
                    <w:rStyle w:val="katex-mathml"/>
                    <w:rFonts w:ascii="Cambria Math" w:hAnsi="Cambria Math"/>
                    <w:sz w:val="19"/>
                    <w:szCs w:val="19"/>
                  </w:rPr>
                  <m:t>r</m:t>
                </m:r>
              </m:e>
            </m:d>
          </m:sup>
        </m:sSubSup>
      </m:oMath>
      <w:r w:rsidR="00F4186A">
        <w:rPr>
          <w:rStyle w:val="katex-mathml"/>
        </w:rPr>
        <w:t xml:space="preserve">), where </w:t>
      </w:r>
      <w:r w:rsidR="00F4186A" w:rsidRPr="00F4186A">
        <w:rPr>
          <w:rStyle w:val="katex-mathml"/>
          <w:i/>
          <w:iCs/>
        </w:rPr>
        <w:t>r</w:t>
      </w:r>
      <w:r w:rsidR="00F4186A">
        <w:rPr>
          <w:rStyle w:val="katex-mathml"/>
        </w:rPr>
        <w:t>=1,…,</w:t>
      </w:r>
      <w:r w:rsidR="00F4186A" w:rsidRPr="00F4186A">
        <w:rPr>
          <w:rStyle w:val="katex-mathml"/>
          <w:i/>
          <w:iCs/>
        </w:rPr>
        <w:t>k</w:t>
      </w:r>
      <w:r w:rsidR="00F4186A">
        <w:rPr>
          <w:rStyle w:val="katex-mathml"/>
        </w:rPr>
        <w:t xml:space="preserve">, </w:t>
      </w:r>
      <w:r>
        <w:t xml:space="preserve">and the remaining </w:t>
      </w:r>
      <w:r w:rsidR="00F4186A" w:rsidRPr="00F715D5">
        <w:rPr>
          <w:rStyle w:val="katex-mathml"/>
          <w:i/>
          <w:iCs/>
        </w:rPr>
        <w:t>k</w:t>
      </w:r>
      <w:r w:rsidR="00F4186A">
        <w:rPr>
          <w:rStyle w:val="katex-mathml"/>
        </w:rPr>
        <w:t xml:space="preserve"> </w:t>
      </w:r>
      <w:r>
        <w:rPr>
          <w:rStyle w:val="katex-mathml"/>
        </w:rPr>
        <w:t>−1</w:t>
      </w:r>
      <w:r>
        <w:t xml:space="preserve"> subsets form the training set. This rotation ensures that every subset is used for validation exactly once, providing a robust estimate of model performance.</w:t>
      </w:r>
      <w:r w:rsidR="00F4186A">
        <w:t xml:space="preserve"> The objective function for hyperparameter optimization is formulated as the maximization of the average coefficient of determination or the R-squared (</w:t>
      </w:r>
      <w:r w:rsidR="00F4186A">
        <w:rPr>
          <w:rStyle w:val="katex-mathml"/>
        </w:rPr>
        <w:t>R²</w:t>
      </w:r>
      <w:r w:rsidR="00F4186A">
        <w:t>) across all validation folds, which is expressed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4447"/>
        <w:gridCol w:w="1286"/>
      </w:tblGrid>
      <w:tr w:rsidR="00F4186A" w:rsidRPr="000A7CB7" w14:paraId="69CDBB38" w14:textId="77777777" w:rsidTr="00CE6F8D">
        <w:trPr>
          <w:trHeight w:val="227"/>
          <w:jc w:val="center"/>
        </w:trPr>
        <w:tc>
          <w:tcPr>
            <w:tcW w:w="1838" w:type="dxa"/>
            <w:vAlign w:val="center"/>
          </w:tcPr>
          <w:p w14:paraId="0F4024D5" w14:textId="77777777" w:rsidR="00F4186A" w:rsidRPr="000A7CB7" w:rsidRDefault="00F4186A" w:rsidP="00CE6F8D">
            <w:pPr>
              <w:spacing w:before="160" w:after="160" w:line="276" w:lineRule="auto"/>
              <w:jc w:val="center"/>
            </w:pPr>
          </w:p>
        </w:tc>
        <w:tc>
          <w:tcPr>
            <w:tcW w:w="5812" w:type="dxa"/>
            <w:vAlign w:val="center"/>
          </w:tcPr>
          <w:p w14:paraId="2AD1C3B7" w14:textId="60EEFFDE" w:rsidR="00F4186A" w:rsidRPr="00432910" w:rsidRDefault="00000000" w:rsidP="00CE6F8D">
            <w:pPr>
              <w:spacing w:before="160" w:after="160" w:line="276" w:lineRule="auto"/>
              <w:jc w:val="center"/>
              <w:rPr>
                <w:b/>
              </w:rPr>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θ</m:t>
                        </m:r>
                        <m:r>
                          <m:rPr>
                            <m:sty m:val="p"/>
                          </m:rPr>
                          <w:rPr>
                            <w:rFonts w:ascii="Cambria Math" w:hAnsi="Cambria Math"/>
                          </w:rPr>
                          <m:t>∈</m:t>
                        </m:r>
                        <m:r>
                          <m:rPr>
                            <m:sty m:val="b"/>
                          </m:rPr>
                          <w:rPr>
                            <w:rFonts w:ascii="Cambria Math" w:hAnsi="Cambria Math"/>
                          </w:rPr>
                          <m:t>Θ</m:t>
                        </m:r>
                      </m:lim>
                    </m:limLow>
                  </m:fName>
                  <m:e>
                    <m:f>
                      <m:fPr>
                        <m:ctrlPr>
                          <w:rPr>
                            <w:rFonts w:ascii="Cambria Math" w:hAnsi="Cambria Math"/>
                          </w:rPr>
                        </m:ctrlPr>
                      </m:fPr>
                      <m:num>
                        <m:r>
                          <m:rPr>
                            <m:sty m:val="p"/>
                          </m:rPr>
                          <w:rPr>
                            <w:rFonts w:ascii="Cambria Math" w:hAnsi="Cambria Math"/>
                          </w:rPr>
                          <m:t>1</m:t>
                        </m:r>
                      </m:num>
                      <m:den>
                        <m:r>
                          <w:rPr>
                            <w:rFonts w:ascii="Cambria Math" w:hAnsi="Cambria Math"/>
                          </w:rPr>
                          <m:t>k</m:t>
                        </m:r>
                      </m:den>
                    </m:f>
                  </m:e>
                </m:func>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r</m:t>
                    </m:r>
                    <m:r>
                      <m:rPr>
                        <m:sty m:val="p"/>
                      </m:rPr>
                      <w:rPr>
                        <w:rFonts w:ascii="Cambria Math" w:hAnsi="Cambria Math"/>
                      </w:rPr>
                      <m:t>=1</m:t>
                    </m:r>
                  </m:sub>
                  <m:sup>
                    <m:r>
                      <w:rPr>
                        <w:rFonts w:ascii="Cambria Math" w:hAnsi="Cambria Math"/>
                      </w:rPr>
                      <m:t>k</m:t>
                    </m:r>
                  </m:sup>
                  <m:e>
                    <m:sSup>
                      <m:sSupPr>
                        <m:ctrlPr>
                          <w:rPr>
                            <w:rFonts w:ascii="Cambria Math" w:hAnsi="Cambria Math"/>
                          </w:rPr>
                        </m:ctrlPr>
                      </m:sSupPr>
                      <m:e>
                        <m:r>
                          <w:rPr>
                            <w:rFonts w:ascii="Cambria Math" w:hAnsi="Cambria Math"/>
                          </w:rPr>
                          <m:t>R</m:t>
                        </m:r>
                      </m:e>
                      <m:sup>
                        <m:r>
                          <m:rPr>
                            <m:sty m:val="p"/>
                          </m:rPr>
                          <w:rPr>
                            <w:rFonts w:ascii="Cambria Math" w:hAnsi="Cambria Math"/>
                          </w:rPr>
                          <m:t>2</m:t>
                        </m:r>
                      </m:sup>
                    </m:sSup>
                    <m:d>
                      <m:dPr>
                        <m:ctrlPr>
                          <w:rPr>
                            <w:rFonts w:ascii="Cambria Math" w:hAnsi="Cambria Math"/>
                          </w:rPr>
                        </m:ctrlPr>
                      </m:dPr>
                      <m:e>
                        <m:sSubSup>
                          <m:sSubSupPr>
                            <m:ctrlPr>
                              <w:rPr>
                                <w:rStyle w:val="katex-mathml"/>
                                <w:rFonts w:ascii="Cambria Math" w:hAnsi="Cambria Math"/>
                                <w:b/>
                                <w:bCs/>
                                <w:iCs/>
                                <w:sz w:val="19"/>
                                <w:szCs w:val="19"/>
                              </w:rPr>
                            </m:ctrlPr>
                          </m:sSubSupPr>
                          <m:e>
                            <m:r>
                              <m:rPr>
                                <m:sty m:val="b"/>
                              </m:rPr>
                              <w:rPr>
                                <w:rStyle w:val="katex-mathml"/>
                                <w:rFonts w:ascii="Cambria Math" w:hAnsi="Cambria Math"/>
                                <w:sz w:val="19"/>
                                <w:szCs w:val="19"/>
                              </w:rPr>
                              <m:t>y</m:t>
                            </m:r>
                          </m:e>
                          <m:sub>
                            <m:r>
                              <m:rPr>
                                <m:sty m:val="p"/>
                              </m:rPr>
                              <w:rPr>
                                <w:rStyle w:val="katex-mathml"/>
                                <w:rFonts w:ascii="Cambria Math" w:hAnsi="Cambria Math"/>
                                <w:sz w:val="19"/>
                                <w:szCs w:val="19"/>
                              </w:rPr>
                              <m:t>val</m:t>
                            </m:r>
                          </m:sub>
                          <m:sup>
                            <m:d>
                              <m:dPr>
                                <m:ctrlPr>
                                  <w:rPr>
                                    <w:rStyle w:val="katex-mathml"/>
                                    <w:rFonts w:ascii="Cambria Math" w:hAnsi="Cambria Math"/>
                                    <w:b/>
                                    <w:bCs/>
                                    <w:i/>
                                    <w:iCs/>
                                    <w:sz w:val="19"/>
                                    <w:szCs w:val="19"/>
                                  </w:rPr>
                                </m:ctrlPr>
                              </m:dPr>
                              <m:e>
                                <m:r>
                                  <w:rPr>
                                    <w:rStyle w:val="katex-mathml"/>
                                    <w:rFonts w:ascii="Cambria Math" w:hAnsi="Cambria Math"/>
                                    <w:sz w:val="19"/>
                                    <w:szCs w:val="19"/>
                                  </w:rPr>
                                  <m:t>r</m:t>
                                </m:r>
                              </m:e>
                            </m:d>
                          </m:sup>
                        </m:sSubSup>
                        <m:r>
                          <m:rPr>
                            <m:sty m:val="bi"/>
                          </m:rPr>
                          <w:rPr>
                            <w:rStyle w:val="katex-mathml"/>
                            <w:rFonts w:ascii="Cambria Math" w:hAnsi="Cambria Math"/>
                            <w:sz w:val="19"/>
                            <w:szCs w:val="19"/>
                          </w:rPr>
                          <m:t>,</m:t>
                        </m:r>
                        <m:sSub>
                          <m:sSubPr>
                            <m:ctrlPr>
                              <w:rPr>
                                <w:rFonts w:ascii="Cambria Math" w:hAnsi="Cambria Math"/>
                                <w:i/>
                                <w:iCs/>
                              </w:rPr>
                            </m:ctrlPr>
                          </m:sSubPr>
                          <m:e>
                            <m:r>
                              <w:rPr>
                                <w:rFonts w:ascii="Cambria Math" w:hAnsi="Cambria Math"/>
                              </w:rPr>
                              <m:t>f</m:t>
                            </m:r>
                          </m:e>
                          <m:sub>
                            <m:r>
                              <w:rPr>
                                <w:rFonts w:ascii="Cambria Math" w:hAnsi="Cambria Math"/>
                              </w:rPr>
                              <m:t>θ</m:t>
                            </m:r>
                          </m:sub>
                        </m:sSub>
                        <m:r>
                          <m:rPr>
                            <m:sty m:val="p"/>
                          </m:rPr>
                          <w:rPr>
                            <w:rFonts w:ascii="Cambria Math" w:hAnsi="Cambria Math"/>
                          </w:rPr>
                          <m:t xml:space="preserve">( </m:t>
                        </m:r>
                        <m:sSubSup>
                          <m:sSubSupPr>
                            <m:ctrlPr>
                              <w:rPr>
                                <w:rStyle w:val="katex-mathml"/>
                                <w:rFonts w:ascii="Cambria Math" w:hAnsi="Cambria Math"/>
                                <w:b/>
                                <w:bCs/>
                                <w:iCs/>
                                <w:sz w:val="19"/>
                                <w:szCs w:val="19"/>
                              </w:rPr>
                            </m:ctrlPr>
                          </m:sSubSupPr>
                          <m:e>
                            <m:r>
                              <m:rPr>
                                <m:sty m:val="b"/>
                              </m:rPr>
                              <w:rPr>
                                <w:rStyle w:val="katex-mathml"/>
                                <w:rFonts w:ascii="Cambria Math" w:hAnsi="Cambria Math"/>
                                <w:sz w:val="19"/>
                                <w:szCs w:val="19"/>
                              </w:rPr>
                              <m:t>X</m:t>
                            </m:r>
                          </m:e>
                          <m:sub>
                            <m:r>
                              <m:rPr>
                                <m:sty m:val="p"/>
                              </m:rPr>
                              <w:rPr>
                                <w:rStyle w:val="katex-mathml"/>
                                <w:rFonts w:ascii="Cambria Math" w:hAnsi="Cambria Math"/>
                                <w:sz w:val="19"/>
                                <w:szCs w:val="19"/>
                              </w:rPr>
                              <m:t>val</m:t>
                            </m:r>
                          </m:sub>
                          <m:sup>
                            <m:d>
                              <m:dPr>
                                <m:ctrlPr>
                                  <w:rPr>
                                    <w:rStyle w:val="katex-mathml"/>
                                    <w:rFonts w:ascii="Cambria Math" w:hAnsi="Cambria Math"/>
                                    <w:b/>
                                    <w:bCs/>
                                    <w:i/>
                                    <w:iCs/>
                                    <w:sz w:val="19"/>
                                    <w:szCs w:val="19"/>
                                  </w:rPr>
                                </m:ctrlPr>
                              </m:dPr>
                              <m:e>
                                <m:r>
                                  <w:rPr>
                                    <w:rStyle w:val="katex-mathml"/>
                                    <w:rFonts w:ascii="Cambria Math" w:hAnsi="Cambria Math"/>
                                    <w:sz w:val="19"/>
                                    <w:szCs w:val="19"/>
                                  </w:rPr>
                                  <m:t>r</m:t>
                                </m:r>
                              </m:e>
                            </m:d>
                          </m:sup>
                        </m:sSubSup>
                      </m:e>
                    </m:d>
                  </m:e>
                </m:nary>
              </m:oMath>
            </m:oMathPara>
          </w:p>
        </w:tc>
        <w:tc>
          <w:tcPr>
            <w:tcW w:w="1700" w:type="dxa"/>
            <w:vAlign w:val="center"/>
          </w:tcPr>
          <w:p w14:paraId="4C4E1022" w14:textId="5ABC5783" w:rsidR="00F4186A" w:rsidRPr="000A7CB7" w:rsidRDefault="00F4186A"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3</w:t>
            </w:r>
            <w:r w:rsidRPr="000A7CB7">
              <w:fldChar w:fldCharType="end"/>
            </w:r>
            <w:r w:rsidRPr="000A7CB7">
              <w:t>)</w:t>
            </w:r>
          </w:p>
        </w:tc>
      </w:tr>
    </w:tbl>
    <w:p w14:paraId="60E60A5C" w14:textId="60D14969" w:rsidR="00B37A81" w:rsidRDefault="00B37A81" w:rsidP="00B37A81">
      <w:pPr>
        <w:pStyle w:val="p1a"/>
      </w:pPr>
      <w:r>
        <w:t>w</w:t>
      </w:r>
      <w:r w:rsidRPr="00083CB8">
        <w:t>h</w:t>
      </w:r>
      <w:r>
        <w:t>ere</w:t>
      </w:r>
      <w:r w:rsidR="00F4186A">
        <w:t xml:space="preserve"> </w:t>
      </w:r>
      <w:r w:rsidR="00F4186A" w:rsidRPr="00F4186A">
        <w:rPr>
          <w:i/>
          <w:iCs/>
        </w:rPr>
        <w:t>θ</w:t>
      </w:r>
      <w:r w:rsidR="00F4186A">
        <w:t xml:space="preserve"> </w:t>
      </w:r>
      <w:r w:rsidRPr="00083CB8">
        <w:t>represents a specific hyperparameter combination from the hyperparameter space</w:t>
      </w:r>
      <w:r>
        <w:t xml:space="preserve"> </w:t>
      </w:r>
      <w:r w:rsidRPr="00611C95">
        <w:rPr>
          <w:b/>
          <w:bCs/>
        </w:rPr>
        <w:t>Θ</w:t>
      </w:r>
      <w:r>
        <w:t>,</w:t>
      </w:r>
      <w:r w:rsidR="00F4186A">
        <w:t xml:space="preserve"> and</w:t>
      </w:r>
      <w:r w:rsidRPr="00263F90">
        <w:rPr>
          <w:rFonts w:ascii="Cambria Math" w:hAnsi="Cambria Math"/>
          <w:iCs/>
        </w:rPr>
        <w:t xml:space="preserve"> </w:t>
      </w:r>
      <w:proofErr w:type="spellStart"/>
      <w:r w:rsidRPr="00611C95">
        <w:rPr>
          <w:i/>
          <w:iCs/>
        </w:rPr>
        <w:t>f</w:t>
      </w:r>
      <w:r w:rsidRPr="00611C95">
        <w:rPr>
          <w:i/>
          <w:iCs/>
          <w:vertAlign w:val="subscript"/>
        </w:rPr>
        <w:t>θ</w:t>
      </w:r>
      <w:proofErr w:type="spellEnd"/>
      <w:r w:rsidRPr="00611C95">
        <w:t xml:space="preserve"> </w:t>
      </w:r>
      <w:r w:rsidRPr="00083CB8">
        <w:t>denotes the predictive function trained using the parameters</w:t>
      </w:r>
      <w:r>
        <w:t xml:space="preserve"> </w:t>
      </w:r>
      <w:r w:rsidRPr="00611C95">
        <w:rPr>
          <w:i/>
          <w:iCs/>
        </w:rPr>
        <w:t>θ</w:t>
      </w:r>
      <w:r>
        <w:t xml:space="preserve"> </w:t>
      </w:r>
      <w:r w:rsidR="00F4186A">
        <w:fldChar w:fldCharType="begin"/>
      </w:r>
      <w:r w:rsidR="00F4186A">
        <w:instrText xml:space="preserve"> ADDIN EN.CITE &lt;EndNote&gt;&lt;Cite&gt;&lt;Author&gt;Goodfellow&lt;/Author&gt;&lt;Year&gt;2016&lt;/Year&gt;&lt;RecNum&gt;1269&lt;/RecNum&gt;&lt;DisplayText&gt;[25]&lt;/DisplayText&gt;&lt;record&gt;&lt;rec-number&gt;1269&lt;/rec-number&gt;&lt;foreign-keys&gt;&lt;key app="EN" db-id="ttpsppas4a5wvfea9xr529sw20d5s2r2fsss" timestamp="0"&gt;1269&lt;/key&gt;&lt;/foreign-keys&gt;&lt;ref-type name="Book"&gt;6&lt;/ref-type&gt;&lt;contributors&gt;&lt;authors&gt;&lt;author&gt;Goodfellow, I.&lt;/author&gt;&lt;author&gt;Bengio, Y.&lt;/author&gt;&lt;author&gt;Courville, A.&lt;/author&gt;&lt;/authors&gt;&lt;/contributors&gt;&lt;titles&gt;&lt;title&gt;Deep Learning&lt;/title&gt;&lt;/titles&gt;&lt;dates&gt;&lt;year&gt;2016&lt;/year&gt;&lt;/dates&gt;&lt;pub-location&gt;Cambridge, Massachusetts, United States&lt;/pub-location&gt;&lt;publisher&gt;MIT Press&lt;/publisher&gt;&lt;isbn&gt;9780262035613&lt;/isbn&gt;&lt;urls&gt;&lt;related-urls&gt;&lt;url&gt;https://books.google.com/books?id=Np9SDQAAQBAJ&lt;/url&gt;&lt;/related-urls&gt;&lt;/urls&gt;&lt;/record&gt;&lt;/Cite&gt;&lt;/EndNote&gt;</w:instrText>
      </w:r>
      <w:r w:rsidR="00F4186A">
        <w:fldChar w:fldCharType="separate"/>
      </w:r>
      <w:r w:rsidR="00F4186A">
        <w:rPr>
          <w:noProof/>
        </w:rPr>
        <w:t>[25]</w:t>
      </w:r>
      <w:r w:rsidR="00F4186A">
        <w:fldChar w:fldCharType="end"/>
      </w:r>
      <w:r>
        <w:t xml:space="preserve">. </w:t>
      </w:r>
      <w:r w:rsidRPr="00FA367B">
        <w:t>Ultimately, this rigorous hyperparameter search strategy allows the selection of optimal parameters that significantly enhance the mode</w:t>
      </w:r>
      <w:r>
        <w:t>l</w:t>
      </w:r>
      <w:r w:rsidRPr="00FA367B">
        <w:t xml:space="preserve"> predictive accuracy, stability, and reliability.</w:t>
      </w:r>
    </w:p>
    <w:p w14:paraId="6B9F7A04" w14:textId="3B687923" w:rsidR="00B37A81" w:rsidRDefault="00B37A81" w:rsidP="00B37A81">
      <w:pPr>
        <w:pStyle w:val="heading2"/>
      </w:pPr>
      <w:r w:rsidRPr="00347C0D">
        <w:t>Bayesian Neural Network</w:t>
      </w:r>
    </w:p>
    <w:p w14:paraId="31FC19D8" w14:textId="4023CD4E" w:rsidR="00074143" w:rsidRDefault="00074143" w:rsidP="00074143">
      <w:pPr>
        <w:pStyle w:val="p1a"/>
      </w:pPr>
      <w:r>
        <w:t xml:space="preserve">Long-span cable-supported bridges operate in complex and uncertain wind environments, making accurate prediction and uncertainty estimation of structural responses, such as torsional accelerations, crucial for SHM aspects. BNNs address these challenges by incorporating a probabilistic framework that inherently quantifies uncertainty while maintaining high predictive accuracy. Unlike conventional neural networks, which treat weights as fixed parameters, BNNs model the network weights </w:t>
      </w:r>
      <w:proofErr w:type="spellStart"/>
      <w:r w:rsidRPr="00074143">
        <w:rPr>
          <w:rStyle w:val="mord"/>
          <w:b/>
          <w:bCs/>
        </w:rPr>
        <w:t>W</w:t>
      </w:r>
      <w:r>
        <w:t xml:space="preserve"> as</w:t>
      </w:r>
      <w:proofErr w:type="spellEnd"/>
      <w:r>
        <w:t xml:space="preserve"> random variables with assigned prior distributions</w:t>
      </w:r>
      <w:r w:rsidR="00DD6EAD">
        <w:t xml:space="preserve"> </w:t>
      </w:r>
      <w:r w:rsidR="00DD6EAD">
        <w:fldChar w:fldCharType="begin"/>
      </w:r>
      <w:r w:rsidR="00DD6EAD">
        <w:instrText xml:space="preserve"> ADDIN EN.CITE &lt;EndNote&gt;&lt;Cite&gt;&lt;Author&gt;MacKay&lt;/Author&gt;&lt;Year&gt;1992&lt;/Year&gt;&lt;RecNum&gt;3261&lt;/RecNum&gt;&lt;DisplayText&gt;[27,28]&lt;/DisplayText&gt;&lt;record&gt;&lt;rec-number&gt;3261&lt;/rec-number&gt;&lt;foreign-keys&gt;&lt;key app="EN" db-id="ttpsppas4a5wvfea9xr529sw20d5s2r2fsss" timestamp="1747501965"&gt;3261&lt;/key&gt;&lt;/foreign-keys&gt;&lt;ref-type name="Journal Article"&gt;17&lt;/ref-type&gt;&lt;contributors&gt;&lt;authors&gt;&lt;author&gt;MacKay, David J. C.&lt;/author&gt;&lt;/authors&gt;&lt;/contributors&gt;&lt;titles&gt;&lt;title&gt;A practical Bayesian framework for backpropagation networks&lt;/title&gt;&lt;secondary-title&gt;Neural Computation&lt;/secondary-title&gt;&lt;/titles&gt;&lt;periodical&gt;&lt;full-title&gt;Neural Computation&lt;/full-title&gt;&lt;abbr-1&gt;Neural Comput.&lt;/abbr-1&gt;&lt;abbr-2&gt;Neural Comput&lt;/abbr-2&gt;&lt;/periodical&gt;&lt;pages&gt;448-472&lt;/pages&gt;&lt;volume&gt;4&lt;/volume&gt;&lt;number&gt;3&lt;/number&gt;&lt;dates&gt;&lt;year&gt;1992&lt;/year&gt;&lt;/dates&gt;&lt;isbn&gt;0899-7667&lt;/isbn&gt;&lt;urls&gt;&lt;related-urls&gt;&lt;url&gt;https://doi.org/10.1162/neco.1992.4.3.448&lt;/url&gt;&lt;/related-urls&gt;&lt;/urls&gt;&lt;electronic-resource-num&gt;https://doi.org/10.1162/neco.1992.4.3.448&lt;/electronic-resource-num&gt;&lt;access-date&gt;5/17/2025&lt;/access-date&gt;&lt;/record&gt;&lt;/Cite&gt;&lt;Cite&gt;&lt;Author&gt;Neal&lt;/Author&gt;&lt;Year&gt;2012&lt;/Year&gt;&lt;RecNum&gt;3262&lt;/RecNum&gt;&lt;record&gt;&lt;rec-number&gt;3262&lt;/rec-number&gt;&lt;foreign-keys&gt;&lt;key app="EN" db-id="ttpsppas4a5wvfea9xr529sw20d5s2r2fsss" timestamp="1747502029"&gt;3262&lt;/key&gt;&lt;/foreign-keys&gt;&lt;ref-type name="Book"&gt;6&lt;/ref-type&gt;&lt;contributors&gt;&lt;authors&gt;&lt;author&gt;Neal, R.M.&lt;/author&gt;&lt;/authors&gt;&lt;/contributors&gt;&lt;titles&gt;&lt;title&gt;Bayesian Learning for Neural Networks&lt;/title&gt;&lt;/titles&gt;&lt;dates&gt;&lt;year&gt;2012&lt;/year&gt;&lt;/dates&gt;&lt;publisher&gt;Springer New York&lt;/publisher&gt;&lt;isbn&gt;9781461207450&lt;/isbn&gt;&lt;urls&gt;&lt;/urls&gt;&lt;/record&gt;&lt;/Cite&gt;&lt;/EndNote&gt;</w:instrText>
      </w:r>
      <w:r w:rsidR="00DD6EAD">
        <w:fldChar w:fldCharType="separate"/>
      </w:r>
      <w:r w:rsidR="00DD6EAD">
        <w:rPr>
          <w:noProof/>
        </w:rPr>
        <w:t>[27,28]</w:t>
      </w:r>
      <w:r w:rsidR="00DD6EAD">
        <w:fldChar w:fldCharType="end"/>
      </w:r>
      <w:r>
        <w:t>.</w:t>
      </w:r>
      <w:r w:rsidR="00DD6EAD">
        <w:t xml:space="preserve"> This probabilistic treatment </w:t>
      </w:r>
      <w:r w:rsidR="00DD6EAD">
        <w:lastRenderedPageBreak/>
        <w:t>allows BNNs to represent both model predictions and their associated uncertainties, offering a robust mechanism for decision-making in SHM applications.</w:t>
      </w:r>
    </w:p>
    <w:p w14:paraId="3887F77D" w14:textId="3C5456DA" w:rsidR="00DD6EAD" w:rsidRDefault="00DD6EAD" w:rsidP="00DD6EAD">
      <w:r>
        <w:t xml:space="preserve">After the </w:t>
      </w:r>
      <w:r w:rsidRPr="00DD6EAD">
        <w:rPr>
          <w:rStyle w:val="Strong"/>
          <w:b w:val="0"/>
          <w:bCs w:val="0"/>
        </w:rPr>
        <w:t>VIF-based feature selection</w:t>
      </w:r>
      <w:r>
        <w:t xml:space="preserve">, the refined predictor matrix is represented as </w:t>
      </w:r>
      <m:oMath>
        <m:acc>
          <m:accPr>
            <m:chr m:val="̃"/>
            <m:ctrlPr>
              <w:rPr>
                <w:rStyle w:val="katex-mathml"/>
                <w:rFonts w:ascii="Cambria Math" w:hAnsi="Cambria Math"/>
                <w:b/>
                <w:bCs/>
                <w:iCs/>
              </w:rPr>
            </m:ctrlPr>
          </m:accPr>
          <m:e>
            <m:r>
              <m:rPr>
                <m:sty m:val="b"/>
              </m:rPr>
              <w:rPr>
                <w:rStyle w:val="katex-mathml"/>
                <w:rFonts w:ascii="Cambria Math" w:hAnsi="Cambria Math"/>
              </w:rPr>
              <m:t>X</m:t>
            </m:r>
          </m:e>
        </m:acc>
        <m:r>
          <m:rPr>
            <m:sty m:val="b"/>
          </m:rPr>
          <w:rPr>
            <w:rStyle w:val="katex-mathml"/>
            <w:rFonts w:ascii="Cambria Math" w:hAnsi="Cambria Math"/>
          </w:rPr>
          <m:t>∈</m:t>
        </m:r>
        <m:sSup>
          <m:sSupPr>
            <m:ctrlPr>
              <w:rPr>
                <w:rStyle w:val="katex-mathml"/>
                <w:rFonts w:ascii="Cambria Math" w:hAnsi="Cambria Math"/>
                <w:b/>
                <w:bCs/>
                <w:iCs/>
              </w:rPr>
            </m:ctrlPr>
          </m:sSupPr>
          <m:e>
            <m:r>
              <m:rPr>
                <m:scr m:val="double-struck"/>
                <m:sty m:val="b"/>
              </m:rPr>
              <w:rPr>
                <w:rStyle w:val="katex-mathml"/>
                <w:rFonts w:ascii="Cambria Math" w:hAnsi="Cambria Math"/>
              </w:rPr>
              <m:t>R</m:t>
            </m:r>
          </m:e>
          <m:sup>
            <m:r>
              <w:rPr>
                <w:rStyle w:val="katex-mathml"/>
                <w:rFonts w:ascii="Cambria Math" w:hAnsi="Cambria Math"/>
              </w:rPr>
              <m:t>n×q</m:t>
            </m:r>
          </m:sup>
        </m:sSup>
      </m:oMath>
      <w:r w:rsidRPr="00DD6EAD">
        <w:rPr>
          <w:rStyle w:val="katex-mathml"/>
          <w:iCs/>
        </w:rPr>
        <w:t>,</w:t>
      </w:r>
      <w:r>
        <w:rPr>
          <w:rStyle w:val="katex-mathml"/>
          <w:b/>
          <w:bCs/>
          <w:iCs/>
        </w:rPr>
        <w:t xml:space="preserve"> </w:t>
      </w:r>
      <w:r w:rsidRPr="00DD6EAD">
        <w:t>where</w:t>
      </w:r>
      <w:r>
        <w:rPr>
          <w:rStyle w:val="katex-mathml"/>
          <w:b/>
          <w:bCs/>
          <w:iCs/>
        </w:rPr>
        <w:t xml:space="preserve"> </w:t>
      </w:r>
      <w:r w:rsidRPr="00DD6EAD">
        <w:rPr>
          <w:rStyle w:val="mord"/>
          <w:i/>
          <w:iCs/>
        </w:rPr>
        <w:t>n</w:t>
      </w:r>
      <w:r>
        <w:t xml:space="preserve"> is the number of samples and </w:t>
      </w:r>
      <w:r w:rsidRPr="00DD6EAD">
        <w:rPr>
          <w:i/>
          <w:iCs/>
        </w:rPr>
        <w:t>q</w:t>
      </w:r>
      <w:r>
        <w:t xml:space="preserve"> denotes the number of selected predictors after multicollinearity reduction. The target variable, representing the torsional RMS response, is denoted as the vector </w:t>
      </w:r>
      <m:oMath>
        <m:r>
          <m:rPr>
            <m:sty m:val="b"/>
          </m:rPr>
          <w:rPr>
            <w:rStyle w:val="katex-mathml"/>
            <w:rFonts w:ascii="Cambria Math" w:hAnsi="Cambria Math"/>
          </w:rPr>
          <m:t>y∈</m:t>
        </m:r>
        <m:sSup>
          <m:sSupPr>
            <m:ctrlPr>
              <w:rPr>
                <w:rStyle w:val="katex-mathml"/>
                <w:rFonts w:ascii="Cambria Math" w:hAnsi="Cambria Math"/>
                <w:b/>
                <w:bCs/>
                <w:iCs/>
              </w:rPr>
            </m:ctrlPr>
          </m:sSupPr>
          <m:e>
            <m:r>
              <m:rPr>
                <m:scr m:val="double-struck"/>
                <m:sty m:val="b"/>
              </m:rPr>
              <w:rPr>
                <w:rStyle w:val="katex-mathml"/>
                <w:rFonts w:ascii="Cambria Math" w:hAnsi="Cambria Math"/>
              </w:rPr>
              <m:t>R</m:t>
            </m:r>
          </m:e>
          <m:sup>
            <m:r>
              <w:rPr>
                <w:rStyle w:val="katex-mathml"/>
                <w:rFonts w:ascii="Cambria Math" w:hAnsi="Cambria Math"/>
              </w:rPr>
              <m:t>n</m:t>
            </m:r>
          </m:sup>
        </m:sSup>
      </m:oMath>
      <w:r>
        <w:t xml:space="preserve">. </w:t>
      </w:r>
      <w:r w:rsidR="006047DE">
        <w:t xml:space="preserve">Accordingly, in a BNN, a prior distribution is assumed over the network weights </w:t>
      </w:r>
      <w:r w:rsidR="006047DE" w:rsidRPr="006047DE">
        <w:rPr>
          <w:rStyle w:val="mord"/>
          <w:b/>
          <w:bCs/>
        </w:rPr>
        <w:t>W</w:t>
      </w:r>
      <w:r w:rsidR="006047DE">
        <w:t>, typically modeled as a Gaussian distribution: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4265"/>
        <w:gridCol w:w="1357"/>
      </w:tblGrid>
      <w:tr w:rsidR="006047DE" w:rsidRPr="000A7CB7" w14:paraId="779CC673" w14:textId="77777777" w:rsidTr="00CE6F8D">
        <w:trPr>
          <w:trHeight w:val="227"/>
          <w:jc w:val="center"/>
        </w:trPr>
        <w:tc>
          <w:tcPr>
            <w:tcW w:w="1838" w:type="dxa"/>
            <w:vAlign w:val="center"/>
          </w:tcPr>
          <w:p w14:paraId="79BFC27D" w14:textId="77777777" w:rsidR="006047DE" w:rsidRPr="000A7CB7" w:rsidRDefault="006047DE" w:rsidP="00CE6F8D">
            <w:pPr>
              <w:spacing w:before="160" w:after="160" w:line="276" w:lineRule="auto"/>
              <w:jc w:val="center"/>
            </w:pPr>
          </w:p>
        </w:tc>
        <w:tc>
          <w:tcPr>
            <w:tcW w:w="5812" w:type="dxa"/>
            <w:vAlign w:val="center"/>
          </w:tcPr>
          <w:p w14:paraId="4C953550" w14:textId="23BF1AA3" w:rsidR="006047DE" w:rsidRPr="00432910" w:rsidRDefault="006047DE" w:rsidP="00CE6F8D">
            <w:pPr>
              <w:spacing w:before="160" w:after="160" w:line="276" w:lineRule="auto"/>
              <w:jc w:val="center"/>
              <w:rPr>
                <w:b/>
              </w:rPr>
            </w:pPr>
            <m:oMath>
              <m:r>
                <m:rPr>
                  <m:scr m:val="script"/>
                </m:rPr>
                <w:rPr>
                  <w:rFonts w:ascii="Cambria Math" w:hAnsi="Cambria Math" w:cstheme="majorBidi"/>
                </w:rPr>
                <m:t>P</m:t>
              </m:r>
              <m:r>
                <m:rPr>
                  <m:sty m:val="p"/>
                </m:rPr>
                <w:rPr>
                  <w:rFonts w:ascii="Cambria Math" w:hAnsi="Cambria Math" w:cstheme="majorBidi"/>
                </w:rPr>
                <m:t>(</m:t>
              </m:r>
              <m:r>
                <m:rPr>
                  <m:sty m:val="b"/>
                </m:rPr>
                <w:rPr>
                  <w:rFonts w:ascii="Cambria Math" w:hAnsi="Cambria Math" w:cstheme="majorBidi"/>
                </w:rPr>
                <m:t>W</m:t>
              </m:r>
              <m:r>
                <m:rPr>
                  <m:sty m:val="p"/>
                </m:rPr>
                <w:rPr>
                  <w:rFonts w:ascii="Cambria Math" w:hAnsi="Cambria Math" w:cstheme="majorBidi"/>
                </w:rPr>
                <m:t>)=</m:t>
              </m:r>
              <m:r>
                <m:rPr>
                  <m:scr m:val="script"/>
                </m:rPr>
                <w:rPr>
                  <w:rFonts w:ascii="Cambria Math" w:hAnsi="Cambria Math" w:cstheme="majorBidi"/>
                </w:rPr>
                <m:t>N</m:t>
              </m:r>
              <m:r>
                <m:rPr>
                  <m:sty m:val="p"/>
                </m:rPr>
                <w:rPr>
                  <w:rFonts w:ascii="Cambria Math" w:hAnsi="Cambria Math" w:cstheme="majorBidi"/>
                </w:rPr>
                <m:t>(</m:t>
              </m:r>
              <m:r>
                <m:rPr>
                  <m:sty m:val="b"/>
                </m:rPr>
                <w:rPr>
                  <w:rFonts w:ascii="Cambria Math" w:hAnsi="Cambria Math" w:cstheme="majorBidi"/>
                </w:rPr>
                <m:t>W</m:t>
              </m:r>
              <m:r>
                <m:rPr>
                  <m:sty m:val="p"/>
                </m:rPr>
                <w:rPr>
                  <w:rFonts w:ascii="Cambria Math" w:hAnsi="Cambria Math" w:cstheme="majorBidi"/>
                  <w:lang w:bidi="fa-IR"/>
                </w:rPr>
                <m:t>|</m:t>
              </m:r>
              <m:r>
                <m:rPr>
                  <m:sty m:val="b"/>
                </m:rPr>
                <w:rPr>
                  <w:rFonts w:ascii="Cambria Math" w:hAnsi="Cambria Math" w:cstheme="majorBidi"/>
                  <w:lang w:val="it-IT" w:bidi="fa-IR"/>
                </w:rPr>
                <m:t>μ</m:t>
              </m:r>
              <m:r>
                <w:rPr>
                  <w:rFonts w:ascii="Cambria Math" w:hAnsi="Cambria Math" w:cstheme="majorBidi"/>
                  <w:lang w:bidi="fa-IR"/>
                </w:rPr>
                <m:t>,</m:t>
              </m:r>
              <m:sSubSup>
                <m:sSubSupPr>
                  <m:ctrlPr>
                    <w:rPr>
                      <w:rFonts w:ascii="Cambria Math" w:hAnsi="Cambria Math" w:cstheme="majorBidi"/>
                      <w:i/>
                      <w:iCs/>
                      <w:lang w:val="it-IT" w:bidi="fa-IR"/>
                    </w:rPr>
                  </m:ctrlPr>
                </m:sSubSupPr>
                <m:e>
                  <m:r>
                    <w:rPr>
                      <w:rFonts w:ascii="Cambria Math" w:hAnsi="Cambria Math" w:cstheme="majorBidi"/>
                      <w:lang w:val="it-IT" w:bidi="fa-IR"/>
                    </w:rPr>
                    <m:t>σ</m:t>
                  </m:r>
                </m:e>
                <m:sub>
                  <m:r>
                    <w:rPr>
                      <w:rFonts w:ascii="Cambria Math" w:hAnsi="Cambria Math" w:cstheme="majorBidi"/>
                      <w:lang w:val="it-IT" w:bidi="fa-IR"/>
                    </w:rPr>
                    <m:t>u</m:t>
                  </m:r>
                </m:sub>
                <m:sup>
                  <m:r>
                    <w:rPr>
                      <w:rFonts w:ascii="Cambria Math" w:hAnsi="Cambria Math" w:cstheme="majorBidi"/>
                      <w:lang w:val="it-IT" w:bidi="fa-IR"/>
                    </w:rPr>
                    <m:t>2</m:t>
                  </m:r>
                </m:sup>
              </m:sSubSup>
            </m:oMath>
            <w:r w:rsidRPr="00265645">
              <w:rPr>
                <w:rFonts w:asciiTheme="majorBidi" w:hAnsiTheme="majorBidi" w:cstheme="majorBidi"/>
                <w:lang w:bidi="fa-IR"/>
              </w:rPr>
              <w:t>)</w:t>
            </w:r>
          </w:p>
        </w:tc>
        <w:tc>
          <w:tcPr>
            <w:tcW w:w="1700" w:type="dxa"/>
            <w:vAlign w:val="center"/>
          </w:tcPr>
          <w:p w14:paraId="132B1A4D" w14:textId="693CA4CD" w:rsidR="006047DE" w:rsidRPr="000A7CB7" w:rsidRDefault="006047DE"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4</w:t>
            </w:r>
            <w:r w:rsidRPr="000A7CB7">
              <w:fldChar w:fldCharType="end"/>
            </w:r>
            <w:r w:rsidRPr="000A7CB7">
              <w:t>)</w:t>
            </w:r>
          </w:p>
        </w:tc>
      </w:tr>
    </w:tbl>
    <w:p w14:paraId="2EC9DDAA" w14:textId="33FFAFCD" w:rsidR="00B37A81" w:rsidRDefault="006047DE" w:rsidP="006047DE">
      <w:pPr>
        <w:ind w:firstLine="0"/>
      </w:pPr>
      <w:r>
        <w:t>where</w:t>
      </w:r>
      <w:r w:rsidR="00B37A81" w:rsidRPr="00A27B71">
        <w:t xml:space="preserve"> </w:t>
      </w:r>
      <w:r w:rsidR="00B37A81" w:rsidRPr="006047DE">
        <w:rPr>
          <w:b/>
          <w:bCs/>
        </w:rPr>
        <w:t>μ</w:t>
      </w:r>
      <w:r w:rsidR="00B37A81" w:rsidRPr="00A27B71">
        <w:t xml:space="preserve"> </w:t>
      </w:r>
      <w:r>
        <w:t xml:space="preserve">is the mean vector of the prior distribution and </w:t>
      </w:r>
      <m:oMath>
        <m:sSubSup>
          <m:sSubSupPr>
            <m:ctrlPr>
              <w:rPr>
                <w:rFonts w:ascii="Cambria Math" w:hAnsi="Cambria Math" w:cstheme="majorBidi"/>
                <w:i/>
                <w:iCs/>
                <w:lang w:val="it-IT" w:bidi="fa-IR"/>
              </w:rPr>
            </m:ctrlPr>
          </m:sSubSupPr>
          <m:e>
            <m:r>
              <w:rPr>
                <w:rFonts w:ascii="Cambria Math" w:hAnsi="Cambria Math" w:cstheme="majorBidi"/>
                <w:lang w:val="it-IT" w:bidi="fa-IR"/>
              </w:rPr>
              <m:t>σ</m:t>
            </m:r>
          </m:e>
          <m:sub>
            <m:r>
              <w:rPr>
                <w:rFonts w:ascii="Cambria Math" w:hAnsi="Cambria Math" w:cstheme="majorBidi"/>
                <w:lang w:val="it-IT" w:bidi="fa-IR"/>
              </w:rPr>
              <m:t>u</m:t>
            </m:r>
          </m:sub>
          <m:sup>
            <m:r>
              <w:rPr>
                <w:rFonts w:ascii="Cambria Math" w:hAnsi="Cambria Math" w:cstheme="majorBidi"/>
                <w:lang w:val="it-IT" w:bidi="fa-IR"/>
              </w:rPr>
              <m:t>2</m:t>
            </m:r>
          </m:sup>
        </m:sSubSup>
      </m:oMath>
      <w:r w:rsidR="00B37A81" w:rsidRPr="00A27B71">
        <w:t xml:space="preserve"> </w:t>
      </w:r>
      <w:r>
        <w:t xml:space="preserve">is the variance, representing prior </w:t>
      </w:r>
      <w:r w:rsidRPr="006047DE">
        <w:t>uncertainty</w:t>
      </w:r>
      <w:r>
        <w:t>.</w:t>
      </w:r>
      <w:r w:rsidRPr="006047DE">
        <w:t xml:space="preserve"> </w:t>
      </w:r>
      <w:r>
        <w:t xml:space="preserve">Given the refined predictor matrix </w:t>
      </w:r>
      <m:oMath>
        <m:acc>
          <m:accPr>
            <m:chr m:val="̃"/>
            <m:ctrlPr>
              <w:rPr>
                <w:rStyle w:val="katex-mathml"/>
                <w:rFonts w:ascii="Cambria Math" w:hAnsi="Cambria Math"/>
                <w:b/>
                <w:bCs/>
                <w:iCs/>
              </w:rPr>
            </m:ctrlPr>
          </m:accPr>
          <m:e>
            <m:r>
              <m:rPr>
                <m:sty m:val="b"/>
              </m:rPr>
              <w:rPr>
                <w:rStyle w:val="katex-mathml"/>
                <w:rFonts w:ascii="Cambria Math" w:hAnsi="Cambria Math"/>
              </w:rPr>
              <m:t>X</m:t>
            </m:r>
          </m:e>
        </m:acc>
      </m:oMath>
      <w:r>
        <w:rPr>
          <w:rStyle w:val="katex-mathml"/>
          <w:b/>
          <w:bCs/>
          <w:iCs/>
        </w:rPr>
        <w:t xml:space="preserve"> </w:t>
      </w:r>
      <w:r w:rsidRPr="006047DE">
        <w:rPr>
          <w:rStyle w:val="katex-mathml"/>
          <w:iCs/>
        </w:rPr>
        <w:t>a</w:t>
      </w:r>
      <w:r>
        <w:t xml:space="preserve">nd network weights </w:t>
      </w:r>
      <w:r w:rsidRPr="006047DE">
        <w:rPr>
          <w:rStyle w:val="katex-mathml"/>
          <w:b/>
          <w:bCs/>
        </w:rPr>
        <w:t>W</w:t>
      </w:r>
      <w:r>
        <w:rPr>
          <w:rStyle w:val="katex-mathml"/>
        </w:rPr>
        <w:t xml:space="preserve">, </w:t>
      </w:r>
      <w:r>
        <w:t xml:space="preserve">the likelihood of observing the torsional response </w:t>
      </w:r>
      <w:r w:rsidRPr="006047DE">
        <w:rPr>
          <w:rStyle w:val="mord"/>
          <w:b/>
          <w:bCs/>
        </w:rPr>
        <w:t>y</w:t>
      </w:r>
      <w:r>
        <w:t xml:space="preserve"> is expressed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4336"/>
        <w:gridCol w:w="1329"/>
      </w:tblGrid>
      <w:tr w:rsidR="00B37A81" w:rsidRPr="000A7CB7" w14:paraId="09A96D44" w14:textId="77777777" w:rsidTr="00CE6F8D">
        <w:trPr>
          <w:trHeight w:val="227"/>
          <w:jc w:val="center"/>
        </w:trPr>
        <w:tc>
          <w:tcPr>
            <w:tcW w:w="1838" w:type="dxa"/>
            <w:vAlign w:val="center"/>
          </w:tcPr>
          <w:p w14:paraId="114988E5" w14:textId="77777777" w:rsidR="00B37A81" w:rsidRPr="000A7CB7" w:rsidRDefault="00B37A81" w:rsidP="00CE6F8D">
            <w:pPr>
              <w:spacing w:before="160" w:after="160" w:line="276" w:lineRule="auto"/>
              <w:jc w:val="center"/>
            </w:pPr>
          </w:p>
        </w:tc>
        <w:tc>
          <w:tcPr>
            <w:tcW w:w="5812" w:type="dxa"/>
            <w:vAlign w:val="center"/>
          </w:tcPr>
          <w:p w14:paraId="4D156D44" w14:textId="5E307686" w:rsidR="00B37A81" w:rsidRPr="00414570" w:rsidRDefault="00B37A81" w:rsidP="00CE6F8D">
            <w:pPr>
              <w:spacing w:before="160" w:after="160" w:line="276" w:lineRule="auto"/>
              <w:jc w:val="center"/>
            </w:pPr>
            <m:oMathPara>
              <m:oMath>
                <m:r>
                  <m:rPr>
                    <m:scr m:val="script"/>
                  </m:rPr>
                  <w:rPr>
                    <w:rFonts w:ascii="Cambria Math" w:hAnsi="Cambria Math" w:cstheme="majorBidi"/>
                  </w:rPr>
                  <m:t>P</m:t>
                </m:r>
                <m:r>
                  <m:rPr>
                    <m:sty m:val="p"/>
                  </m:rPr>
                  <w:rPr>
                    <w:rFonts w:ascii="Cambria Math" w:hAnsi="Cambria Math"/>
                  </w:rPr>
                  <m:t>(</m:t>
                </m:r>
                <m:r>
                  <m:rPr>
                    <m:sty m:val="b"/>
                  </m:rPr>
                  <w:rPr>
                    <w:rFonts w:ascii="Cambria Math" w:hAnsi="Cambria Math"/>
                  </w:rPr>
                  <m:t xml:space="preserve">y| </m:t>
                </m:r>
                <m:acc>
                  <m:accPr>
                    <m:chr m:val="̃"/>
                    <m:ctrlPr>
                      <w:rPr>
                        <w:rStyle w:val="katex-mathml"/>
                        <w:rFonts w:ascii="Cambria Math" w:hAnsi="Cambria Math"/>
                        <w:b/>
                        <w:bCs/>
                        <w:iCs/>
                      </w:rPr>
                    </m:ctrlPr>
                  </m:accPr>
                  <m:e>
                    <m:r>
                      <m:rPr>
                        <m:sty m:val="b"/>
                      </m:rPr>
                      <w:rPr>
                        <w:rStyle w:val="katex-mathml"/>
                        <w:rFonts w:ascii="Cambria Math" w:hAnsi="Cambria Math"/>
                      </w:rPr>
                      <m:t>X</m:t>
                    </m:r>
                  </m:e>
                </m:acc>
                <m:r>
                  <m:rPr>
                    <m:sty m:val="b"/>
                  </m:rPr>
                  <w:rPr>
                    <w:rFonts w:ascii="Cambria Math" w:hAnsi="Cambria Math"/>
                  </w:rPr>
                  <m:t>,W</m:t>
                </m:r>
                <m:r>
                  <m:rPr>
                    <m:sty m:val="p"/>
                  </m:rPr>
                  <w:rPr>
                    <w:rFonts w:ascii="Cambria Math" w:hAnsi="Cambria Math"/>
                  </w:rPr>
                  <m:t>) =</m:t>
                </m:r>
                <m:r>
                  <m:rPr>
                    <m:scr m:val="script"/>
                  </m:rPr>
                  <w:rPr>
                    <w:rFonts w:ascii="Cambria Math" w:hAnsi="Cambria Math" w:cstheme="majorBidi"/>
                  </w:rPr>
                  <m:t>N</m:t>
                </m:r>
                <m:r>
                  <w:rPr>
                    <w:rFonts w:ascii="Cambria Math" w:hAnsi="Cambria Math"/>
                  </w:rPr>
                  <m:t>(f</m:t>
                </m:r>
                <m:d>
                  <m:dPr>
                    <m:ctrlPr>
                      <w:rPr>
                        <w:rFonts w:ascii="Cambria Math" w:hAnsi="Cambria Math"/>
                        <w:i/>
                      </w:rPr>
                    </m:ctrlPr>
                  </m:dPr>
                  <m:e>
                    <m:acc>
                      <m:accPr>
                        <m:chr m:val="̃"/>
                        <m:ctrlPr>
                          <w:rPr>
                            <w:rStyle w:val="katex-mathml"/>
                            <w:rFonts w:ascii="Cambria Math" w:hAnsi="Cambria Math"/>
                            <w:b/>
                            <w:bCs/>
                            <w:iCs/>
                          </w:rPr>
                        </m:ctrlPr>
                      </m:accPr>
                      <m:e>
                        <m:r>
                          <m:rPr>
                            <m:sty m:val="b"/>
                          </m:rPr>
                          <w:rPr>
                            <w:rStyle w:val="katex-mathml"/>
                            <w:rFonts w:ascii="Cambria Math" w:hAnsi="Cambria Math"/>
                          </w:rPr>
                          <m:t>X</m:t>
                        </m:r>
                      </m:e>
                    </m:acc>
                    <m:r>
                      <m:rPr>
                        <m:sty m:val="b"/>
                      </m:rPr>
                      <w:rPr>
                        <w:rFonts w:ascii="Cambria Math" w:hAnsi="Cambria Math"/>
                      </w:rPr>
                      <m:t>;W</m:t>
                    </m:r>
                  </m:e>
                </m:d>
                <m:r>
                  <w:rPr>
                    <w:rFonts w:ascii="Cambria Math" w:hAnsi="Cambria Math"/>
                  </w:rPr>
                  <m:t>,</m:t>
                </m:r>
                <m:sSup>
                  <m:sSupPr>
                    <m:ctrlPr>
                      <w:rPr>
                        <w:rFonts w:ascii="Cambria Math" w:hAnsi="Cambria Math"/>
                        <w:i/>
                        <w:iCs/>
                      </w:rPr>
                    </m:ctrlPr>
                  </m:sSupPr>
                  <m:e>
                    <m:r>
                      <w:rPr>
                        <w:rFonts w:ascii="Cambria Math" w:hAnsi="Cambria Math"/>
                      </w:rPr>
                      <m:t>σ</m:t>
                    </m:r>
                  </m:e>
                  <m:sup>
                    <m:r>
                      <w:rPr>
                        <w:rFonts w:ascii="Cambria Math" w:hAnsi="Cambria Math"/>
                      </w:rPr>
                      <m:t>2</m:t>
                    </m:r>
                  </m:sup>
                </m:sSup>
                <m:r>
                  <w:rPr>
                    <w:rFonts w:ascii="Cambria Math" w:hAnsi="Cambria Math"/>
                  </w:rPr>
                  <m:t>)</m:t>
                </m:r>
              </m:oMath>
            </m:oMathPara>
          </w:p>
        </w:tc>
        <w:tc>
          <w:tcPr>
            <w:tcW w:w="1700" w:type="dxa"/>
            <w:vAlign w:val="center"/>
          </w:tcPr>
          <w:p w14:paraId="4A0DACC2" w14:textId="71A900DB" w:rsidR="00B37A81" w:rsidRPr="000A7CB7" w:rsidRDefault="00B37A81"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5</w:t>
            </w:r>
            <w:r w:rsidRPr="000A7CB7">
              <w:fldChar w:fldCharType="end"/>
            </w:r>
            <w:r w:rsidRPr="000A7CB7">
              <w:t>)</w:t>
            </w:r>
          </w:p>
        </w:tc>
      </w:tr>
    </w:tbl>
    <w:p w14:paraId="526B5AEF" w14:textId="5A738F5B" w:rsidR="00847A89" w:rsidRPr="00847A89" w:rsidRDefault="00847A89" w:rsidP="00847A89">
      <w:pPr>
        <w:ind w:firstLine="0"/>
      </w:pPr>
      <w:r>
        <w:t xml:space="preserve">where </w:t>
      </w:r>
      <w:r w:rsidRPr="00847A89">
        <w:rPr>
          <w:i/>
          <w:iCs/>
        </w:rPr>
        <w:t>f</w:t>
      </w:r>
      <w:r>
        <w:t>(</w:t>
      </w:r>
      <m:oMath>
        <m:acc>
          <m:accPr>
            <m:chr m:val="̃"/>
            <m:ctrlPr>
              <w:rPr>
                <w:rStyle w:val="katex-mathml"/>
                <w:rFonts w:ascii="Cambria Math" w:hAnsi="Cambria Math"/>
                <w:b/>
                <w:bCs/>
                <w:iCs/>
              </w:rPr>
            </m:ctrlPr>
          </m:accPr>
          <m:e>
            <m:r>
              <m:rPr>
                <m:sty m:val="b"/>
              </m:rPr>
              <w:rPr>
                <w:rStyle w:val="katex-mathml"/>
                <w:rFonts w:ascii="Cambria Math" w:hAnsi="Cambria Math"/>
              </w:rPr>
              <m:t>X</m:t>
            </m:r>
          </m:e>
        </m:acc>
      </m:oMath>
      <w:r w:rsidRPr="00847A89">
        <w:rPr>
          <w:rStyle w:val="katex-mathml"/>
          <w:iCs/>
        </w:rPr>
        <w:t>;</w:t>
      </w:r>
      <w:r>
        <w:rPr>
          <w:rStyle w:val="katex-mathml"/>
          <w:b/>
          <w:bCs/>
          <w:iCs/>
        </w:rPr>
        <w:t>W</w:t>
      </w:r>
      <w:r>
        <w:t xml:space="preserve">) represents the model predicted response for the input data </w:t>
      </w:r>
      <m:oMath>
        <m:acc>
          <m:accPr>
            <m:chr m:val="̃"/>
            <m:ctrlPr>
              <w:rPr>
                <w:rStyle w:val="katex-mathml"/>
                <w:rFonts w:ascii="Cambria Math" w:hAnsi="Cambria Math"/>
                <w:b/>
                <w:bCs/>
                <w:iCs/>
              </w:rPr>
            </m:ctrlPr>
          </m:accPr>
          <m:e>
            <m:r>
              <m:rPr>
                <m:sty m:val="b"/>
              </m:rPr>
              <w:rPr>
                <w:rStyle w:val="katex-mathml"/>
                <w:rFonts w:ascii="Cambria Math" w:hAnsi="Cambria Math"/>
              </w:rPr>
              <m:t>X</m:t>
            </m:r>
          </m:e>
        </m:acc>
      </m:oMath>
      <w:r>
        <w:rPr>
          <w:rStyle w:val="katex-mathml"/>
          <w:iCs/>
        </w:rPr>
        <w:t xml:space="preserve">, and </w:t>
      </w:r>
      <w:r w:rsidRPr="00B64BBF">
        <w:rPr>
          <w:i/>
          <w:iCs/>
        </w:rPr>
        <w:t>σ</w:t>
      </w:r>
      <w:r w:rsidRPr="00B64BBF">
        <w:rPr>
          <w:vertAlign w:val="superscript"/>
        </w:rPr>
        <w:t>2</w:t>
      </w:r>
      <w:r>
        <w:t xml:space="preserve"> denotes the noise variance, capturing </w:t>
      </w:r>
      <w:r w:rsidRPr="00847A89">
        <w:rPr>
          <w:rStyle w:val="Strong"/>
          <w:b w:val="0"/>
          <w:bCs w:val="0"/>
        </w:rPr>
        <w:t>aleatoric uncertainty</w:t>
      </w:r>
      <w:r>
        <w:t xml:space="preserve"> arising from inherent measurement noise </w:t>
      </w:r>
      <w:r>
        <w:fldChar w:fldCharType="begin"/>
      </w:r>
      <w:r>
        <w:instrText xml:space="preserve"> ADDIN EN.CITE &lt;EndNote&gt;&lt;Cite&gt;&lt;Author&gt;Xu&lt;/Author&gt;&lt;Year&gt;2022&lt;/Year&gt;&lt;RecNum&gt;3263&lt;/RecNum&gt;&lt;DisplayText&gt;[29]&lt;/DisplayText&gt;&lt;record&gt;&lt;rec-number&gt;3263&lt;/rec-number&gt;&lt;foreign-keys&gt;&lt;key app="EN" db-id="ttpsppas4a5wvfea9xr529sw20d5s2r2fsss" timestamp="1747502622"&gt;3263&lt;/key&gt;&lt;/foreign-keys&gt;&lt;ref-type name="Conference Paper"&gt;47&lt;/ref-type&gt;&lt;contributors&gt;&lt;authors&gt;&lt;author&gt;Winnie Xu&lt;/author&gt;&lt;author&gt;Ricky T. Q. Chen&lt;/author&gt;&lt;author&gt;Xuechen Li&lt;/author&gt;&lt;author&gt;David Duvenaud&lt;/author&gt;&lt;/authors&gt;&lt;secondary-authors&gt;&lt;author&gt;Gustau, Camps-Valls&lt;/author&gt;&lt;author&gt;Francisco, J. R. Ruiz&lt;/author&gt;&lt;author&gt;Isabel, Valera&lt;/author&gt;&lt;/secondary-authors&gt;&lt;/contributors&gt;&lt;titles&gt;&lt;title&gt;Infinitely Deep Bayesian Neural Networks with Stochastic Differential Equations&lt;/title&gt;&lt;secondary-title&gt;Proceedings of The 25th International Conference on Artificial Intelligence and Statistics&lt;/secondary-title&gt;&lt;/titles&gt;&lt;pages&gt;721--738&lt;/pages&gt;&lt;volume&gt;151&lt;/volume&gt;&lt;dates&gt;&lt;year&gt;2022&lt;/year&gt;&lt;/dates&gt;&lt;pub-location&gt;Proceedings of Machine Learning Research&lt;/pub-location&gt;&lt;publisher&gt;PMLR&lt;/publisher&gt;&lt;label&gt;pmlr-v151-xu22a&lt;/label&gt;&lt;urls&gt;&lt;related-urls&gt;&lt;url&gt;https://proceedings.mlr.press/v151/xu22a.html&lt;/url&gt;&lt;/related-urls&gt;&lt;/urls&gt;&lt;/record&gt;&lt;/Cite&gt;&lt;/EndNote&gt;</w:instrText>
      </w:r>
      <w:r>
        <w:fldChar w:fldCharType="separate"/>
      </w:r>
      <w:r>
        <w:rPr>
          <w:noProof/>
        </w:rPr>
        <w:t>[29]</w:t>
      </w:r>
      <w:r>
        <w:fldChar w:fldCharType="end"/>
      </w:r>
      <w:r>
        <w:t xml:space="preserve">. In the following, the posterior distribution of the weights </w:t>
      </w:r>
      <w:r w:rsidRPr="00847A89">
        <w:rPr>
          <w:rStyle w:val="katex-mathml"/>
          <w:b/>
          <w:bCs/>
        </w:rPr>
        <w:t>W</w:t>
      </w:r>
      <w:r>
        <w:t xml:space="preserve">, given the data </w:t>
      </w:r>
      <w:r>
        <w:rPr>
          <w:rFonts w:ascii="Cambria Math" w:hAnsi="Cambria Math"/>
        </w:rPr>
        <w:t>𝒟</w:t>
      </w:r>
      <w:r>
        <w:t>=(</w:t>
      </w:r>
      <m:oMath>
        <m:acc>
          <m:accPr>
            <m:chr m:val="̃"/>
            <m:ctrlPr>
              <w:rPr>
                <w:rStyle w:val="katex-mathml"/>
                <w:rFonts w:ascii="Cambria Math" w:hAnsi="Cambria Math"/>
                <w:b/>
                <w:bCs/>
                <w:iCs/>
              </w:rPr>
            </m:ctrlPr>
          </m:accPr>
          <m:e>
            <m:r>
              <m:rPr>
                <m:sty m:val="b"/>
              </m:rPr>
              <w:rPr>
                <w:rStyle w:val="katex-mathml"/>
                <w:rFonts w:ascii="Cambria Math" w:hAnsi="Cambria Math"/>
              </w:rPr>
              <m:t>X</m:t>
            </m:r>
          </m:e>
        </m:acc>
      </m:oMath>
      <w:r w:rsidRPr="00847A89">
        <w:rPr>
          <w:rStyle w:val="katex-mathml"/>
          <w:iCs/>
        </w:rPr>
        <w:t>,</w:t>
      </w:r>
      <w:r>
        <w:rPr>
          <w:rStyle w:val="katex-mathml"/>
          <w:b/>
          <w:bCs/>
          <w:iCs/>
        </w:rPr>
        <w:t>y</w:t>
      </w:r>
      <w:r>
        <w:t>) is computed via Bayes' theorem: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4266"/>
        <w:gridCol w:w="1356"/>
      </w:tblGrid>
      <w:tr w:rsidR="00B37A81" w:rsidRPr="000A7CB7" w14:paraId="5A3843D1" w14:textId="77777777" w:rsidTr="00847A89">
        <w:trPr>
          <w:trHeight w:val="227"/>
          <w:jc w:val="center"/>
        </w:trPr>
        <w:tc>
          <w:tcPr>
            <w:tcW w:w="1296" w:type="dxa"/>
            <w:vAlign w:val="center"/>
          </w:tcPr>
          <w:p w14:paraId="55718E41" w14:textId="77777777" w:rsidR="00B37A81" w:rsidRPr="000A7CB7" w:rsidRDefault="00B37A81" w:rsidP="00CE6F8D">
            <w:pPr>
              <w:spacing w:before="160" w:after="160" w:line="276" w:lineRule="auto"/>
              <w:jc w:val="center"/>
            </w:pPr>
          </w:p>
        </w:tc>
        <w:tc>
          <w:tcPr>
            <w:tcW w:w="4266" w:type="dxa"/>
            <w:vAlign w:val="center"/>
          </w:tcPr>
          <w:p w14:paraId="006B3A92" w14:textId="682C8E84" w:rsidR="00B37A81" w:rsidRPr="00B64BBF" w:rsidRDefault="00B37A81" w:rsidP="00CE6F8D">
            <w:pPr>
              <w:spacing w:before="160" w:after="160" w:line="276" w:lineRule="auto"/>
              <w:jc w:val="center"/>
            </w:pPr>
            <w:r w:rsidRPr="00265645">
              <w:rPr>
                <w:iCs/>
                <w:sz w:val="22"/>
                <w:szCs w:val="22"/>
              </w:rPr>
              <w:t xml:space="preserve">   </w:t>
            </w:r>
            <m:oMath>
              <m:r>
                <m:rPr>
                  <m:scr m:val="script"/>
                </m:rPr>
                <w:rPr>
                  <w:rFonts w:ascii="Cambria Math" w:hAnsi="Cambria Math" w:cstheme="majorBidi"/>
                </w:rPr>
                <m:t>P</m:t>
              </m:r>
              <m:r>
                <m:rPr>
                  <m:sty m:val="p"/>
                </m:rPr>
                <w:rPr>
                  <w:rFonts w:ascii="Cambria Math" w:hAnsi="Cambria Math" w:cstheme="majorBidi"/>
                </w:rPr>
                <m:t>(</m:t>
              </m:r>
              <m:r>
                <m:rPr>
                  <m:sty m:val="b"/>
                </m:rPr>
                <w:rPr>
                  <w:rFonts w:ascii="Cambria Math" w:hAnsi="Cambria Math"/>
                </w:rPr>
                <m:t>W</m:t>
              </m:r>
              <m:r>
                <m:rPr>
                  <m:sty m:val="p"/>
                </m:rPr>
                <w:rPr>
                  <w:rFonts w:ascii="Cambria Math" w:hAnsi="Cambria Math" w:cstheme="majorBidi"/>
                  <w:lang w:bidi="fa-IR"/>
                </w:rPr>
                <m:t>|</m:t>
              </m:r>
              <m:r>
                <m:rPr>
                  <m:scr m:val="script"/>
                  <m:sty m:val="p"/>
                </m:rPr>
                <w:rPr>
                  <w:rFonts w:ascii="Cambria Math" w:hAnsi="Cambria Math"/>
                </w:rPr>
                <m:t>D</m:t>
              </m:r>
              <m:r>
                <m:rPr>
                  <m:sty m:val="p"/>
                </m:rPr>
                <w:rPr>
                  <w:rFonts w:ascii="Cambria Math" w:hAnsi="Cambria Math" w:cstheme="majorBidi"/>
                  <w:lang w:bidi="fa-IR"/>
                </w:rPr>
                <m:t>)=</m:t>
              </m:r>
              <m:f>
                <m:fPr>
                  <m:ctrlPr>
                    <w:rPr>
                      <w:rFonts w:ascii="Cambria Math" w:hAnsi="Cambria Math" w:cstheme="majorBidi"/>
                      <w:iCs/>
                      <w:lang w:bidi="fa-IR"/>
                    </w:rPr>
                  </m:ctrlPr>
                </m:fPr>
                <m:num>
                  <m:r>
                    <m:rPr>
                      <m:scr m:val="script"/>
                    </m:rPr>
                    <w:rPr>
                      <w:rFonts w:ascii="Cambria Math" w:hAnsi="Cambria Math" w:cstheme="majorBidi"/>
                    </w:rPr>
                    <m:t>P</m:t>
                  </m:r>
                  <m:r>
                    <m:rPr>
                      <m:sty m:val="p"/>
                    </m:rPr>
                    <w:rPr>
                      <w:rFonts w:ascii="Cambria Math" w:hAnsi="Cambria Math"/>
                    </w:rPr>
                    <m:t>(</m:t>
                  </m:r>
                  <m:r>
                    <m:rPr>
                      <m:sty m:val="b"/>
                    </m:rPr>
                    <w:rPr>
                      <w:rFonts w:ascii="Cambria Math" w:hAnsi="Cambria Math"/>
                    </w:rPr>
                    <m:t xml:space="preserve">y| </m:t>
                  </m:r>
                  <m:acc>
                    <m:accPr>
                      <m:chr m:val="̃"/>
                      <m:ctrlPr>
                        <w:rPr>
                          <w:rStyle w:val="katex-mathml"/>
                          <w:rFonts w:ascii="Cambria Math" w:hAnsi="Cambria Math"/>
                          <w:b/>
                          <w:bCs/>
                          <w:iCs/>
                        </w:rPr>
                      </m:ctrlPr>
                    </m:accPr>
                    <m:e>
                      <m:r>
                        <m:rPr>
                          <m:sty m:val="b"/>
                        </m:rPr>
                        <w:rPr>
                          <w:rStyle w:val="katex-mathml"/>
                          <w:rFonts w:ascii="Cambria Math" w:hAnsi="Cambria Math"/>
                        </w:rPr>
                        <m:t>X</m:t>
                      </m:r>
                    </m:e>
                  </m:acc>
                  <m:r>
                    <m:rPr>
                      <m:sty m:val="b"/>
                    </m:rPr>
                    <w:rPr>
                      <w:rFonts w:ascii="Cambria Math" w:hAnsi="Cambria Math"/>
                    </w:rPr>
                    <m:t>,W</m:t>
                  </m:r>
                  <m:r>
                    <m:rPr>
                      <m:sty m:val="p"/>
                    </m:rPr>
                    <w:rPr>
                      <w:rFonts w:ascii="Cambria Math" w:hAnsi="Cambria Math"/>
                    </w:rPr>
                    <m:t>)</m:t>
                  </m:r>
                  <m:r>
                    <m:rPr>
                      <m:scr m:val="script"/>
                    </m:rPr>
                    <w:rPr>
                      <w:rFonts w:ascii="Cambria Math" w:hAnsi="Cambria Math" w:cstheme="majorBidi"/>
                    </w:rPr>
                    <m:t>P</m:t>
                  </m:r>
                  <m:r>
                    <m:rPr>
                      <m:sty m:val="p"/>
                    </m:rPr>
                    <w:rPr>
                      <w:rFonts w:ascii="Cambria Math" w:hAnsi="Cambria Math" w:cstheme="majorBidi"/>
                    </w:rPr>
                    <m:t>(</m:t>
                  </m:r>
                  <m:r>
                    <m:rPr>
                      <m:sty m:val="b"/>
                    </m:rPr>
                    <w:rPr>
                      <w:rFonts w:ascii="Cambria Math" w:hAnsi="Cambria Math" w:cstheme="majorBidi"/>
                      <w:lang w:bidi="fa-IR"/>
                    </w:rPr>
                    <m:t>W</m:t>
                  </m:r>
                  <m:r>
                    <m:rPr>
                      <m:sty m:val="p"/>
                    </m:rPr>
                    <w:rPr>
                      <w:rFonts w:ascii="Cambria Math" w:hAnsi="Cambria Math" w:cstheme="majorBidi"/>
                      <w:lang w:bidi="fa-IR"/>
                    </w:rPr>
                    <m:t>)</m:t>
                  </m:r>
                </m:num>
                <m:den>
                  <m:r>
                    <m:rPr>
                      <m:scr m:val="script"/>
                    </m:rPr>
                    <w:rPr>
                      <w:rFonts w:ascii="Cambria Math" w:hAnsi="Cambria Math" w:cstheme="majorBidi"/>
                    </w:rPr>
                    <m:t>P</m:t>
                  </m:r>
                  <m:r>
                    <m:rPr>
                      <m:sty m:val="p"/>
                    </m:rPr>
                    <w:rPr>
                      <w:rFonts w:ascii="Cambria Math" w:hAnsi="Cambria Math" w:cstheme="majorBidi"/>
                    </w:rPr>
                    <m:t>(</m:t>
                  </m:r>
                  <m:r>
                    <m:rPr>
                      <m:sty m:val="b"/>
                    </m:rPr>
                    <w:rPr>
                      <w:rFonts w:ascii="Cambria Math" w:hAnsi="Cambria Math"/>
                    </w:rPr>
                    <m:t>y</m:t>
                  </m:r>
                  <m:r>
                    <m:rPr>
                      <m:sty m:val="b"/>
                    </m:rPr>
                    <w:rPr>
                      <w:rFonts w:ascii="Cambria Math" w:hAnsi="Cambria Math" w:cstheme="majorBidi"/>
                      <w:lang w:bidi="fa-IR"/>
                    </w:rPr>
                    <m:t>|</m:t>
                  </m:r>
                  <m:acc>
                    <m:accPr>
                      <m:chr m:val="̃"/>
                      <m:ctrlPr>
                        <w:rPr>
                          <w:rStyle w:val="katex-mathml"/>
                          <w:rFonts w:ascii="Cambria Math" w:hAnsi="Cambria Math"/>
                          <w:b/>
                          <w:bCs/>
                          <w:iCs/>
                        </w:rPr>
                      </m:ctrlPr>
                    </m:accPr>
                    <m:e>
                      <m:r>
                        <m:rPr>
                          <m:sty m:val="b"/>
                        </m:rPr>
                        <w:rPr>
                          <w:rStyle w:val="katex-mathml"/>
                          <w:rFonts w:ascii="Cambria Math" w:hAnsi="Cambria Math"/>
                        </w:rPr>
                        <m:t>X</m:t>
                      </m:r>
                    </m:e>
                  </m:acc>
                  <m:r>
                    <m:rPr>
                      <m:sty m:val="p"/>
                    </m:rPr>
                    <w:rPr>
                      <w:rFonts w:ascii="Cambria Math" w:hAnsi="Cambria Math" w:cstheme="majorBidi"/>
                      <w:lang w:bidi="fa-IR"/>
                    </w:rPr>
                    <m:t>)</m:t>
                  </m:r>
                </m:den>
              </m:f>
            </m:oMath>
            <w:r w:rsidRPr="00265645">
              <w:rPr>
                <w:iCs/>
                <w:sz w:val="22"/>
                <w:szCs w:val="22"/>
                <w:lang w:bidi="fa-IR"/>
              </w:rPr>
              <w:t xml:space="preserve">  </w:t>
            </w:r>
          </w:p>
        </w:tc>
        <w:tc>
          <w:tcPr>
            <w:tcW w:w="1356" w:type="dxa"/>
            <w:vAlign w:val="center"/>
          </w:tcPr>
          <w:p w14:paraId="2CB2962F" w14:textId="1849FC65" w:rsidR="00B37A81" w:rsidRPr="000A7CB7" w:rsidRDefault="00B37A81"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6</w:t>
            </w:r>
            <w:r w:rsidRPr="000A7CB7">
              <w:fldChar w:fldCharType="end"/>
            </w:r>
            <w:r w:rsidRPr="000A7CB7">
              <w:t>)</w:t>
            </w:r>
          </w:p>
        </w:tc>
      </w:tr>
    </w:tbl>
    <w:p w14:paraId="014CBACB" w14:textId="29B02FA1" w:rsidR="00847A89" w:rsidRDefault="00847A89" w:rsidP="00B37A81">
      <w:r>
        <w:t xml:space="preserve">Since the exact computation of this posterior is analytically intractable due to the high dimensionality and nonlinearity, approximation techniques such as </w:t>
      </w:r>
      <w:r w:rsidRPr="00847A89">
        <w:rPr>
          <w:rStyle w:val="Strong"/>
          <w:b w:val="0"/>
          <w:bCs w:val="0"/>
        </w:rPr>
        <w:t>variational inference</w:t>
      </w:r>
      <w:r w:rsidRPr="00847A89">
        <w:rPr>
          <w:b/>
          <w:bCs/>
        </w:rPr>
        <w:t xml:space="preserve"> </w:t>
      </w:r>
      <w:r w:rsidRPr="00847A89">
        <w:t>or</w:t>
      </w:r>
      <w:r w:rsidRPr="00847A89">
        <w:rPr>
          <w:b/>
          <w:bCs/>
        </w:rPr>
        <w:t xml:space="preserve"> </w:t>
      </w:r>
      <w:r w:rsidRPr="00847A89">
        <w:rPr>
          <w:rStyle w:val="Strong"/>
          <w:b w:val="0"/>
          <w:bCs w:val="0"/>
        </w:rPr>
        <w:t xml:space="preserve">Monte Carlo </w:t>
      </w:r>
      <w:r>
        <w:rPr>
          <w:rStyle w:val="Strong"/>
          <w:b w:val="0"/>
          <w:bCs w:val="0"/>
        </w:rPr>
        <w:t>s</w:t>
      </w:r>
      <w:r w:rsidRPr="00847A89">
        <w:rPr>
          <w:rStyle w:val="Strong"/>
          <w:b w:val="0"/>
          <w:bCs w:val="0"/>
        </w:rPr>
        <w:t>ampling</w:t>
      </w:r>
      <w:r w:rsidRPr="00847A89">
        <w:rPr>
          <w:b/>
          <w:bCs/>
        </w:rPr>
        <w:t xml:space="preserve"> </w:t>
      </w:r>
      <w:r>
        <w:t>(e.g., Hamiltonian Monte Carlo, dropout-as-approximation) are employed to estimate</w:t>
      </w:r>
      <w:r w:rsidRPr="006625C9">
        <w:t xml:space="preserve"> </w:t>
      </w:r>
      <w:r w:rsidR="00697D1C">
        <w:fldChar w:fldCharType="begin"/>
      </w:r>
      <w:r w:rsidR="00697D1C">
        <w:instrText xml:space="preserve"> ADDIN EN.CITE &lt;EndNote&gt;&lt;Cite&gt;&lt;Author&gt;MacKay&lt;/Author&gt;&lt;Year&gt;1992&lt;/Year&gt;&lt;RecNum&gt;3261&lt;/RecNum&gt;&lt;DisplayText&gt;[27,25]&lt;/DisplayText&gt;&lt;record&gt;&lt;rec-number&gt;3261&lt;/rec-number&gt;&lt;foreign-keys&gt;&lt;key app="EN" db-id="ttpsppas4a5wvfea9xr529sw20d5s2r2fsss" timestamp="1747501965"&gt;3261&lt;/key&gt;&lt;/foreign-keys&gt;&lt;ref-type name="Journal Article"&gt;17&lt;/ref-type&gt;&lt;contributors&gt;&lt;authors&gt;&lt;author&gt;MacKay, David J. C.&lt;/author&gt;&lt;/authors&gt;&lt;/contributors&gt;&lt;titles&gt;&lt;title&gt;A practical Bayesian framework for backpropagation networks&lt;/title&gt;&lt;secondary-title&gt;Neural Computation&lt;/secondary-title&gt;&lt;/titles&gt;&lt;periodical&gt;&lt;full-title&gt;Neural Computation&lt;/full-title&gt;&lt;abbr-1&gt;Neural Comput.&lt;/abbr-1&gt;&lt;abbr-2&gt;Neural Comput&lt;/abbr-2&gt;&lt;/periodical&gt;&lt;pages&gt;448-472&lt;/pages&gt;&lt;volume&gt;4&lt;/volume&gt;&lt;number&gt;3&lt;/number&gt;&lt;dates&gt;&lt;year&gt;1992&lt;/year&gt;&lt;/dates&gt;&lt;isbn&gt;0899-7667&lt;/isbn&gt;&lt;urls&gt;&lt;related-urls&gt;&lt;url&gt;https://doi.org/10.1162/neco.1992.4.3.448&lt;/url&gt;&lt;/related-urls&gt;&lt;/urls&gt;&lt;electronic-resource-num&gt;https://doi.org/10.1162/neco.1992.4.3.448&lt;/electronic-resource-num&gt;&lt;access-date&gt;5/17/2025&lt;/access-date&gt;&lt;/record&gt;&lt;/Cite&gt;&lt;Cite&gt;&lt;Author&gt;Goodfellow&lt;/Author&gt;&lt;Year&gt;2016&lt;/Year&gt;&lt;RecNum&gt;1269&lt;/RecNum&gt;&lt;record&gt;&lt;rec-number&gt;1269&lt;/rec-number&gt;&lt;foreign-keys&gt;&lt;key app="EN" db-id="ttpsppas4a5wvfea9xr529sw20d5s2r2fsss" timestamp="0"&gt;1269&lt;/key&gt;&lt;/foreign-keys&gt;&lt;ref-type name="Book"&gt;6&lt;/ref-type&gt;&lt;contributors&gt;&lt;authors&gt;&lt;author&gt;Goodfellow, I.&lt;/author&gt;&lt;author&gt;Bengio, Y.&lt;/author&gt;&lt;author&gt;Courville, A.&lt;/author&gt;&lt;/authors&gt;&lt;/contributors&gt;&lt;titles&gt;&lt;title&gt;Deep Learning&lt;/title&gt;&lt;/titles&gt;&lt;dates&gt;&lt;year&gt;2016&lt;/year&gt;&lt;/dates&gt;&lt;pub-location&gt;Cambridge, Massachusetts, United States&lt;/pub-location&gt;&lt;publisher&gt;MIT Press&lt;/publisher&gt;&lt;isbn&gt;9780262035613&lt;/isbn&gt;&lt;urls&gt;&lt;related-urls&gt;&lt;url&gt;https://books.google.com/books?id=Np9SDQAAQBAJ&lt;/url&gt;&lt;/related-urls&gt;&lt;/urls&gt;&lt;/record&gt;&lt;/Cite&gt;&lt;/EndNote&gt;</w:instrText>
      </w:r>
      <w:r w:rsidR="00697D1C">
        <w:fldChar w:fldCharType="separate"/>
      </w:r>
      <w:r w:rsidR="00697D1C">
        <w:rPr>
          <w:noProof/>
        </w:rPr>
        <w:t>[27,25]</w:t>
      </w:r>
      <w:r w:rsidR="00697D1C">
        <w:fldChar w:fldCharType="end"/>
      </w:r>
      <w:r w:rsidR="00697D1C">
        <w:t>.</w:t>
      </w:r>
    </w:p>
    <w:p w14:paraId="671FF63F" w14:textId="5DBBDA60" w:rsidR="00FA6F25" w:rsidRDefault="00FA6F25" w:rsidP="00B37A81">
      <w:r>
        <w:t xml:space="preserve">To make predictions for a new input </w:t>
      </w:r>
      <m:oMath>
        <m:sSup>
          <m:sSupPr>
            <m:ctrlPr>
              <w:rPr>
                <w:rStyle w:val="katex-mathml"/>
                <w:rFonts w:ascii="Cambria Math" w:hAnsi="Cambria Math"/>
                <w:b/>
                <w:bCs/>
                <w:iCs/>
              </w:rPr>
            </m:ctrlPr>
          </m:sSupPr>
          <m:e>
            <m:acc>
              <m:accPr>
                <m:chr m:val="̃"/>
                <m:ctrlPr>
                  <w:rPr>
                    <w:rStyle w:val="katex-mathml"/>
                    <w:rFonts w:ascii="Cambria Math" w:hAnsi="Cambria Math"/>
                    <w:b/>
                    <w:bCs/>
                    <w:iCs/>
                  </w:rPr>
                </m:ctrlPr>
              </m:accPr>
              <m:e>
                <m:r>
                  <m:rPr>
                    <m:sty m:val="b"/>
                  </m:rPr>
                  <w:rPr>
                    <w:rStyle w:val="katex-mathml"/>
                    <w:rFonts w:ascii="Cambria Math" w:hAnsi="Cambria Math"/>
                  </w:rPr>
                  <m:t>X</m:t>
                </m:r>
              </m:e>
            </m:acc>
          </m:e>
          <m:sup>
            <m:r>
              <m:rPr>
                <m:sty m:val="bi"/>
              </m:rPr>
              <w:rPr>
                <w:rStyle w:val="katex-mathml"/>
                <w:rFonts w:ascii="Cambria Math" w:hAnsi="Cambria Math"/>
              </w:rPr>
              <m:t>*</m:t>
            </m:r>
          </m:sup>
        </m:sSup>
      </m:oMath>
      <w:r>
        <w:t xml:space="preserve">, the </w:t>
      </w:r>
      <w:r w:rsidRPr="00FA6F25">
        <w:rPr>
          <w:rStyle w:val="Strong"/>
          <w:b w:val="0"/>
          <w:bCs w:val="0"/>
        </w:rPr>
        <w:t>predictive distribution</w:t>
      </w:r>
      <w:r>
        <w:t xml:space="preserve"> integrates over all possible weight configurations, weighted by their posterior probabilities: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4325"/>
        <w:gridCol w:w="1334"/>
      </w:tblGrid>
      <w:tr w:rsidR="00B37A81" w:rsidRPr="000A7CB7" w14:paraId="4E9034B5" w14:textId="77777777" w:rsidTr="00FA6F25">
        <w:trPr>
          <w:trHeight w:val="227"/>
          <w:jc w:val="center"/>
        </w:trPr>
        <w:tc>
          <w:tcPr>
            <w:tcW w:w="1259" w:type="dxa"/>
            <w:vAlign w:val="center"/>
          </w:tcPr>
          <w:p w14:paraId="694A8C29" w14:textId="77777777" w:rsidR="00B37A81" w:rsidRPr="000A7CB7" w:rsidRDefault="00B37A81" w:rsidP="00CE6F8D">
            <w:pPr>
              <w:spacing w:before="160" w:after="160" w:line="276" w:lineRule="auto"/>
              <w:jc w:val="center"/>
            </w:pPr>
          </w:p>
        </w:tc>
        <w:tc>
          <w:tcPr>
            <w:tcW w:w="4325" w:type="dxa"/>
            <w:vAlign w:val="center"/>
          </w:tcPr>
          <w:p w14:paraId="6BEFE42C" w14:textId="32EA4707" w:rsidR="00B37A81" w:rsidRPr="00B64BBF" w:rsidRDefault="00B37A81" w:rsidP="00CE6F8D">
            <w:pPr>
              <w:spacing w:before="160" w:after="160" w:line="276" w:lineRule="auto"/>
              <w:jc w:val="center"/>
            </w:pPr>
            <m:oMath>
              <m:r>
                <m:rPr>
                  <m:scr m:val="script"/>
                </m:rPr>
                <w:rPr>
                  <w:rFonts w:ascii="Cambria Math" w:hAnsi="Cambria Math" w:cstheme="majorBidi"/>
                </w:rPr>
                <m:t>P</m:t>
              </m:r>
              <m:r>
                <m:rPr>
                  <m:sty m:val="p"/>
                </m:rPr>
                <w:rPr>
                  <w:rFonts w:ascii="Cambria Math" w:hAnsi="Cambria Math" w:cstheme="majorBidi"/>
                </w:rPr>
                <m:t>(</m:t>
              </m:r>
              <m:sSup>
                <m:sSupPr>
                  <m:ctrlPr>
                    <w:rPr>
                      <w:rFonts w:ascii="Cambria Math" w:hAnsi="Cambria Math" w:cstheme="majorBidi"/>
                      <w:b/>
                      <w:bCs/>
                    </w:rPr>
                  </m:ctrlPr>
                </m:sSupPr>
                <m:e>
                  <m:r>
                    <m:rPr>
                      <m:sty m:val="b"/>
                    </m:rPr>
                    <w:rPr>
                      <w:rFonts w:ascii="Cambria Math" w:hAnsi="Cambria Math" w:cstheme="majorBidi"/>
                    </w:rPr>
                    <m:t>y</m:t>
                  </m:r>
                </m:e>
                <m:sup>
                  <m:r>
                    <m:rPr>
                      <m:sty m:val="b"/>
                    </m:rPr>
                    <w:rPr>
                      <w:rFonts w:ascii="Cambria Math" w:hAnsi="Cambria Math" w:cstheme="majorBidi"/>
                    </w:rPr>
                    <m:t>*</m:t>
                  </m:r>
                </m:sup>
              </m:sSup>
              <m:r>
                <m:rPr>
                  <m:sty m:val="b"/>
                </m:rPr>
                <w:rPr>
                  <w:rFonts w:ascii="Cambria Math" w:hAnsi="Cambria Math" w:cstheme="majorBidi"/>
                </w:rPr>
                <m:t>|</m:t>
              </m:r>
              <m:sSup>
                <m:sSupPr>
                  <m:ctrlPr>
                    <w:rPr>
                      <w:rStyle w:val="katex-mathml"/>
                      <w:rFonts w:ascii="Cambria Math" w:hAnsi="Cambria Math"/>
                      <w:b/>
                      <w:bCs/>
                      <w:iCs/>
                    </w:rPr>
                  </m:ctrlPr>
                </m:sSupPr>
                <m:e>
                  <m:acc>
                    <m:accPr>
                      <m:chr m:val="̃"/>
                      <m:ctrlPr>
                        <w:rPr>
                          <w:rStyle w:val="katex-mathml"/>
                          <w:rFonts w:ascii="Cambria Math" w:hAnsi="Cambria Math"/>
                          <w:b/>
                          <w:bCs/>
                          <w:iCs/>
                        </w:rPr>
                      </m:ctrlPr>
                    </m:accPr>
                    <m:e>
                      <m:r>
                        <m:rPr>
                          <m:sty m:val="b"/>
                        </m:rPr>
                        <w:rPr>
                          <w:rStyle w:val="katex-mathml"/>
                          <w:rFonts w:ascii="Cambria Math" w:hAnsi="Cambria Math"/>
                        </w:rPr>
                        <m:t>X</m:t>
                      </m:r>
                    </m:e>
                  </m:acc>
                </m:e>
                <m:sup>
                  <m:r>
                    <m:rPr>
                      <m:sty m:val="bi"/>
                    </m:rPr>
                    <w:rPr>
                      <w:rStyle w:val="katex-mathml"/>
                      <w:rFonts w:ascii="Cambria Math" w:hAnsi="Cambria Math"/>
                    </w:rPr>
                    <m:t>*</m:t>
                  </m:r>
                </m:sup>
              </m:sSup>
              <m:r>
                <m:rPr>
                  <m:sty m:val="b"/>
                </m:rPr>
                <w:rPr>
                  <w:rFonts w:ascii="Cambria Math" w:hAnsi="Cambria Math" w:cstheme="majorBidi"/>
                </w:rPr>
                <m:t>,</m:t>
              </m:r>
              <m:r>
                <m:rPr>
                  <m:scr m:val="script"/>
                  <m:sty m:val="p"/>
                </m:rPr>
                <w:rPr>
                  <w:rFonts w:ascii="Cambria Math" w:hAnsi="Cambria Math"/>
                </w:rPr>
                <m:t>D</m:t>
              </m:r>
              <m:r>
                <m:rPr>
                  <m:sty m:val="p"/>
                </m:rPr>
                <w:rPr>
                  <w:rFonts w:ascii="Cambria Math" w:hAnsi="Cambria Math" w:cstheme="majorBidi"/>
                </w:rPr>
                <m:t>)=</m:t>
              </m:r>
              <m:nary>
                <m:naryPr>
                  <m:limLoc m:val="undOvr"/>
                  <m:subHide m:val="1"/>
                  <m:supHide m:val="1"/>
                  <m:ctrlPr>
                    <w:rPr>
                      <w:rFonts w:ascii="Cambria Math" w:hAnsi="Cambria Math" w:cstheme="majorBidi"/>
                    </w:rPr>
                  </m:ctrlPr>
                </m:naryPr>
                <m:sub/>
                <m:sup/>
                <m:e>
                  <m:r>
                    <m:rPr>
                      <m:scr m:val="script"/>
                    </m:rPr>
                    <w:rPr>
                      <w:rFonts w:ascii="Cambria Math" w:hAnsi="Cambria Math" w:cstheme="majorBidi"/>
                    </w:rPr>
                    <m:t>P</m:t>
                  </m:r>
                  <m:d>
                    <m:dPr>
                      <m:ctrlPr>
                        <w:rPr>
                          <w:rFonts w:ascii="Cambria Math" w:hAnsi="Cambria Math" w:cstheme="majorBidi"/>
                          <w:i/>
                          <w:iCs/>
                        </w:rPr>
                      </m:ctrlPr>
                    </m:dPr>
                    <m:e>
                      <m:sSup>
                        <m:sSupPr>
                          <m:ctrlPr>
                            <w:rPr>
                              <w:rFonts w:ascii="Cambria Math" w:hAnsi="Cambria Math" w:cstheme="majorBidi"/>
                              <w:b/>
                              <w:bCs/>
                            </w:rPr>
                          </m:ctrlPr>
                        </m:sSupPr>
                        <m:e>
                          <m:r>
                            <m:rPr>
                              <m:sty m:val="b"/>
                            </m:rPr>
                            <w:rPr>
                              <w:rFonts w:ascii="Cambria Math" w:hAnsi="Cambria Math" w:cstheme="majorBidi"/>
                            </w:rPr>
                            <m:t>y</m:t>
                          </m:r>
                        </m:e>
                        <m:sup>
                          <m:r>
                            <m:rPr>
                              <m:sty m:val="b"/>
                            </m:rPr>
                            <w:rPr>
                              <w:rFonts w:ascii="Cambria Math" w:hAnsi="Cambria Math" w:cstheme="majorBidi"/>
                            </w:rPr>
                            <m:t>*</m:t>
                          </m:r>
                        </m:sup>
                      </m:sSup>
                    </m:e>
                    <m:e>
                      <m:sSup>
                        <m:sSupPr>
                          <m:ctrlPr>
                            <w:rPr>
                              <w:rStyle w:val="katex-mathml"/>
                              <w:rFonts w:ascii="Cambria Math" w:hAnsi="Cambria Math"/>
                              <w:b/>
                              <w:bCs/>
                              <w:iCs/>
                            </w:rPr>
                          </m:ctrlPr>
                        </m:sSupPr>
                        <m:e>
                          <m:acc>
                            <m:accPr>
                              <m:chr m:val="̃"/>
                              <m:ctrlPr>
                                <w:rPr>
                                  <w:rStyle w:val="katex-mathml"/>
                                  <w:rFonts w:ascii="Cambria Math" w:hAnsi="Cambria Math"/>
                                  <w:b/>
                                  <w:bCs/>
                                  <w:iCs/>
                                </w:rPr>
                              </m:ctrlPr>
                            </m:accPr>
                            <m:e>
                              <m:r>
                                <m:rPr>
                                  <m:sty m:val="b"/>
                                </m:rPr>
                                <w:rPr>
                                  <w:rStyle w:val="katex-mathml"/>
                                  <w:rFonts w:ascii="Cambria Math" w:hAnsi="Cambria Math"/>
                                </w:rPr>
                                <m:t>X</m:t>
                              </m:r>
                            </m:e>
                          </m:acc>
                        </m:e>
                        <m:sup>
                          <m:r>
                            <m:rPr>
                              <m:sty m:val="bi"/>
                            </m:rPr>
                            <w:rPr>
                              <w:rStyle w:val="katex-mathml"/>
                              <w:rFonts w:ascii="Cambria Math" w:hAnsi="Cambria Math"/>
                            </w:rPr>
                            <m:t>*</m:t>
                          </m:r>
                        </m:sup>
                      </m:sSup>
                      <m:r>
                        <m:rPr>
                          <m:sty m:val="bi"/>
                        </m:rPr>
                        <w:rPr>
                          <w:rFonts w:ascii="Cambria Math" w:hAnsi="Cambria Math" w:cstheme="majorBidi"/>
                        </w:rPr>
                        <m:t>,</m:t>
                      </m:r>
                      <m:r>
                        <m:rPr>
                          <m:sty m:val="b"/>
                        </m:rPr>
                        <w:rPr>
                          <w:rFonts w:ascii="Cambria Math" w:hAnsi="Cambria Math"/>
                        </w:rPr>
                        <m:t>W</m:t>
                      </m:r>
                    </m:e>
                  </m:d>
                </m:e>
              </m:nary>
              <m:r>
                <m:rPr>
                  <m:sty m:val="p"/>
                </m:rPr>
                <w:rPr>
                  <w:rFonts w:ascii="Cambria Math" w:hAnsi="Cambria Math" w:cstheme="majorBidi"/>
                </w:rPr>
                <m:t>∙</m:t>
              </m:r>
              <m:r>
                <m:rPr>
                  <m:scr m:val="script"/>
                </m:rPr>
                <w:rPr>
                  <w:rFonts w:ascii="Cambria Math" w:hAnsi="Cambria Math" w:cstheme="majorBidi"/>
                </w:rPr>
                <m:t>P</m:t>
              </m:r>
              <m:r>
                <m:rPr>
                  <m:sty m:val="p"/>
                </m:rPr>
                <w:rPr>
                  <w:rFonts w:ascii="Cambria Math" w:hAnsi="Cambria Math" w:cstheme="majorBidi"/>
                </w:rPr>
                <m:t>(</m:t>
              </m:r>
              <m:r>
                <m:rPr>
                  <m:sty m:val="b"/>
                </m:rPr>
                <w:rPr>
                  <w:rFonts w:ascii="Cambria Math" w:hAnsi="Cambria Math" w:cstheme="majorBidi"/>
                </w:rPr>
                <m:t>W|</m:t>
              </m:r>
              <m:r>
                <m:rPr>
                  <m:scr m:val="script"/>
                  <m:sty m:val="p"/>
                </m:rPr>
                <w:rPr>
                  <w:rFonts w:ascii="Cambria Math" w:hAnsi="Cambria Math"/>
                </w:rPr>
                <m:t>D</m:t>
              </m:r>
              <m:r>
                <m:rPr>
                  <m:sty m:val="p"/>
                </m:rPr>
                <w:rPr>
                  <w:rFonts w:ascii="Cambria Math" w:hAnsi="Cambria Math" w:cstheme="majorBidi"/>
                </w:rPr>
                <m:t>) d</m:t>
              </m:r>
              <m:r>
                <m:rPr>
                  <m:sty m:val="b"/>
                </m:rPr>
                <w:rPr>
                  <w:rFonts w:ascii="Cambria Math" w:hAnsi="Cambria Math" w:cstheme="majorBidi"/>
                </w:rPr>
                <m:t>W</m:t>
              </m:r>
            </m:oMath>
            <w:r w:rsidRPr="00265645">
              <w:rPr>
                <w:iCs/>
                <w:sz w:val="22"/>
                <w:szCs w:val="22"/>
                <w:lang w:bidi="fa-IR"/>
              </w:rPr>
              <w:t xml:space="preserve">  </w:t>
            </w:r>
          </w:p>
        </w:tc>
        <w:tc>
          <w:tcPr>
            <w:tcW w:w="1334" w:type="dxa"/>
            <w:vAlign w:val="center"/>
          </w:tcPr>
          <w:p w14:paraId="6D115FAC" w14:textId="35D5CD14" w:rsidR="00B37A81" w:rsidRPr="000A7CB7" w:rsidRDefault="00B37A81"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7</w:t>
            </w:r>
            <w:r w:rsidRPr="000A7CB7">
              <w:fldChar w:fldCharType="end"/>
            </w:r>
            <w:r w:rsidRPr="000A7CB7">
              <w:t>)</w:t>
            </w:r>
          </w:p>
        </w:tc>
      </w:tr>
    </w:tbl>
    <w:p w14:paraId="6362273E" w14:textId="522E3E51" w:rsidR="00FA6F25" w:rsidRDefault="00FA6F25" w:rsidP="00B37A81">
      <w:r>
        <w:t xml:space="preserve">This formulation yields both the </w:t>
      </w:r>
      <w:r w:rsidRPr="00FA6F25">
        <w:rPr>
          <w:rStyle w:val="Strong"/>
          <w:b w:val="0"/>
          <w:bCs w:val="0"/>
        </w:rPr>
        <w:t>expected prediction (mean)</w:t>
      </w:r>
      <w:r>
        <w:t xml:space="preserve"> and the </w:t>
      </w:r>
      <w:r w:rsidRPr="00FA6F25">
        <w:rPr>
          <w:rStyle w:val="Strong"/>
          <w:b w:val="0"/>
          <w:bCs w:val="0"/>
        </w:rPr>
        <w:t>predictive uncertainty (variance)</w:t>
      </w:r>
      <w:r>
        <w:t xml:space="preserve">, which are essential for SHM applications where risk assessment and confidence intervals are critical </w:t>
      </w:r>
      <w:r>
        <w:fldChar w:fldCharType="begin"/>
      </w:r>
      <w:r>
        <w:instrText xml:space="preserve"> ADDIN EN.CITE &lt;EndNote&gt;&lt;Cite&gt;&lt;Author&gt;Neal&lt;/Author&gt;&lt;Year&gt;2012&lt;/Year&gt;&lt;RecNum&gt;3262&lt;/RecNum&gt;&lt;DisplayText&gt;[28]&lt;/DisplayText&gt;&lt;record&gt;&lt;rec-number&gt;3262&lt;/rec-number&gt;&lt;foreign-keys&gt;&lt;key app="EN" db-id="ttpsppas4a5wvfea9xr529sw20d5s2r2fsss" timestamp="1747502029"&gt;3262&lt;/key&gt;&lt;/foreign-keys&gt;&lt;ref-type name="Book"&gt;6&lt;/ref-type&gt;&lt;contributors&gt;&lt;authors&gt;&lt;author&gt;Neal, R.M.&lt;/author&gt;&lt;/authors&gt;&lt;/contributors&gt;&lt;titles&gt;&lt;title&gt;Bayesian Learning for Neural Networks&lt;/title&gt;&lt;/titles&gt;&lt;dates&gt;&lt;year&gt;2012&lt;/year&gt;&lt;/dates&gt;&lt;publisher&gt;Springer New York&lt;/publisher&gt;&lt;isbn&gt;9781461207450&lt;/isbn&gt;&lt;urls&gt;&lt;/urls&gt;&lt;/record&gt;&lt;/Cite&gt;&lt;/EndNote&gt;</w:instrText>
      </w:r>
      <w:r>
        <w:fldChar w:fldCharType="separate"/>
      </w:r>
      <w:r>
        <w:rPr>
          <w:noProof/>
        </w:rPr>
        <w:t>[28]</w:t>
      </w:r>
      <w:r>
        <w:fldChar w:fldCharType="end"/>
      </w:r>
      <w:r>
        <w:t>. This is particularly valuable for long-span cable-supported bridges, where safety-critical decisions must account for prediction reliability under varying wind conditions.</w:t>
      </w:r>
    </w:p>
    <w:p w14:paraId="53198BA8" w14:textId="58D5BB3D" w:rsidR="00FA6F25" w:rsidRDefault="00FA6F25" w:rsidP="00FA6F25">
      <w:r>
        <w:t xml:space="preserve">BNN inherently provides a robust framework for quantifying two primary types of uncertainty: </w:t>
      </w:r>
      <w:r w:rsidRPr="00FA6F25">
        <w:rPr>
          <w:rStyle w:val="Strong"/>
          <w:b w:val="0"/>
          <w:bCs w:val="0"/>
        </w:rPr>
        <w:t>aleatoric</w:t>
      </w:r>
      <w:r>
        <w:t xml:space="preserve"> and </w:t>
      </w:r>
      <w:r w:rsidRPr="00FA6F25">
        <w:rPr>
          <w:rStyle w:val="Strong"/>
          <w:b w:val="0"/>
          <w:bCs w:val="0"/>
        </w:rPr>
        <w:t>epistemic</w:t>
      </w:r>
      <w:r>
        <w:t xml:space="preserve">. Aleatoric uncertainty, represented as </w:t>
      </w:r>
      <m:oMath>
        <m:sSubSup>
          <m:sSubSupPr>
            <m:ctrlPr>
              <w:rPr>
                <w:rFonts w:ascii="Cambria Math" w:hAnsi="Cambria Math" w:cstheme="majorBidi"/>
                <w:i/>
                <w:iCs/>
                <w:lang w:val="it-IT" w:bidi="fa-IR"/>
              </w:rPr>
            </m:ctrlPr>
          </m:sSubSupPr>
          <m:e>
            <m:r>
              <w:rPr>
                <w:rFonts w:ascii="Cambria Math" w:hAnsi="Cambria Math" w:cstheme="majorBidi"/>
                <w:lang w:val="it-IT" w:bidi="fa-IR"/>
              </w:rPr>
              <m:t>σ</m:t>
            </m:r>
          </m:e>
          <m:sub>
            <m:r>
              <w:rPr>
                <w:rFonts w:ascii="Cambria Math" w:hAnsi="Cambria Math" w:cstheme="majorBidi"/>
                <w:lang w:val="it-IT" w:bidi="fa-IR"/>
              </w:rPr>
              <m:t>a</m:t>
            </m:r>
          </m:sub>
          <m:sup>
            <m:r>
              <w:rPr>
                <w:rFonts w:ascii="Cambria Math" w:hAnsi="Cambria Math" w:cstheme="majorBidi"/>
                <w:lang w:val="it-IT" w:bidi="fa-IR"/>
              </w:rPr>
              <m:t>2</m:t>
            </m:r>
          </m:sup>
        </m:sSubSup>
      </m:oMath>
      <w:r>
        <w:rPr>
          <w:iCs/>
          <w:lang w:val="it-IT" w:bidi="fa-IR"/>
        </w:rPr>
        <w:t xml:space="preserve">, </w:t>
      </w:r>
      <w:r>
        <w:t xml:space="preserve">accounts for inherent noise and variability in the torsional response data, capturing measurement errors and unpredictable environmental influences. This form of uncertainty is irreducible, as it is tied directly to the randomness in the observed data itself. In contrast, </w:t>
      </w:r>
      <w:r w:rsidRPr="00FA6F25">
        <w:rPr>
          <w:rStyle w:val="Strong"/>
          <w:b w:val="0"/>
          <w:bCs w:val="0"/>
        </w:rPr>
        <w:t>epistemic uncertainty</w:t>
      </w:r>
      <w:r>
        <w:t xml:space="preserve">, denoted as </w:t>
      </w:r>
      <m:oMath>
        <m:sSubSup>
          <m:sSubSupPr>
            <m:ctrlPr>
              <w:rPr>
                <w:rFonts w:ascii="Cambria Math" w:hAnsi="Cambria Math" w:cstheme="majorBidi"/>
                <w:i/>
                <w:iCs/>
                <w:lang w:val="it-IT" w:bidi="fa-IR"/>
              </w:rPr>
            </m:ctrlPr>
          </m:sSubSupPr>
          <m:e>
            <m:r>
              <w:rPr>
                <w:rFonts w:ascii="Cambria Math" w:hAnsi="Cambria Math" w:cstheme="majorBidi"/>
                <w:lang w:val="it-IT" w:bidi="fa-IR"/>
              </w:rPr>
              <m:t>σ</m:t>
            </m:r>
          </m:e>
          <m:sub>
            <m:r>
              <w:rPr>
                <w:rFonts w:ascii="Cambria Math" w:hAnsi="Cambria Math" w:cstheme="majorBidi"/>
                <w:lang w:val="it-IT" w:bidi="fa-IR"/>
              </w:rPr>
              <m:t>e</m:t>
            </m:r>
          </m:sub>
          <m:sup>
            <m:r>
              <w:rPr>
                <w:rFonts w:ascii="Cambria Math" w:hAnsi="Cambria Math" w:cstheme="majorBidi"/>
                <w:lang w:val="it-IT" w:bidi="fa-IR"/>
              </w:rPr>
              <m:t>2</m:t>
            </m:r>
          </m:sup>
        </m:sSubSup>
      </m:oMath>
      <w:r>
        <w:t xml:space="preserve">, reflects the model uncertainty arising from limited training data or incomplete understanding of the system underlying dynamics. This uncertainty is represented by the spread of the posterior distribution over the network </w:t>
      </w:r>
      <w:r>
        <w:lastRenderedPageBreak/>
        <w:t xml:space="preserve">weights </w:t>
      </w:r>
      <w:r w:rsidRPr="00FA6F25">
        <w:rPr>
          <w:rStyle w:val="mord"/>
          <w:b/>
          <w:bCs/>
        </w:rPr>
        <w:t>W</w:t>
      </w:r>
      <w:r>
        <w:t xml:space="preserve"> and can be reduced with additional training data or more refined model learning. The total predictive uncertainty is the sum of these two components, expressed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4"/>
        <w:gridCol w:w="4202"/>
        <w:gridCol w:w="1382"/>
      </w:tblGrid>
      <w:tr w:rsidR="00FA6F25" w:rsidRPr="000A7CB7" w14:paraId="21F81817" w14:textId="77777777" w:rsidTr="00CE6F8D">
        <w:trPr>
          <w:trHeight w:val="227"/>
          <w:jc w:val="center"/>
        </w:trPr>
        <w:tc>
          <w:tcPr>
            <w:tcW w:w="1838" w:type="dxa"/>
            <w:vAlign w:val="center"/>
          </w:tcPr>
          <w:p w14:paraId="28176991" w14:textId="77777777" w:rsidR="00FA6F25" w:rsidRPr="000A7CB7" w:rsidRDefault="00FA6F25" w:rsidP="00CE6F8D">
            <w:pPr>
              <w:spacing w:before="160" w:after="160" w:line="276" w:lineRule="auto"/>
              <w:jc w:val="center"/>
            </w:pPr>
          </w:p>
        </w:tc>
        <w:tc>
          <w:tcPr>
            <w:tcW w:w="5812" w:type="dxa"/>
            <w:vAlign w:val="center"/>
          </w:tcPr>
          <w:p w14:paraId="2539B0E6" w14:textId="7254A854" w:rsidR="00FA6F25" w:rsidRPr="00B64BBF" w:rsidRDefault="00000000" w:rsidP="00CE6F8D">
            <w:pPr>
              <w:spacing w:before="160" w:after="160" w:line="276" w:lineRule="auto"/>
              <w:jc w:val="center"/>
              <w:rPr>
                <w:i/>
                <w:iCs/>
              </w:rPr>
            </w:pPr>
            <m:oMathPara>
              <m:oMath>
                <m:sSubSup>
                  <m:sSubSupPr>
                    <m:ctrlPr>
                      <w:rPr>
                        <w:rFonts w:ascii="Cambria Math" w:hAnsi="Cambria Math" w:cstheme="majorBidi"/>
                        <w:i/>
                        <w:iCs/>
                      </w:rPr>
                    </m:ctrlPr>
                  </m:sSubSupPr>
                  <m:e>
                    <m:r>
                      <w:rPr>
                        <w:rFonts w:ascii="Cambria Math" w:hAnsi="Cambria Math" w:cstheme="majorBidi"/>
                      </w:rPr>
                      <m:t>σ</m:t>
                    </m:r>
                  </m:e>
                  <m:sub>
                    <m:r>
                      <w:rPr>
                        <w:rFonts w:ascii="Cambria Math" w:hAnsi="Cambria Math" w:cstheme="majorBidi"/>
                      </w:rPr>
                      <m:t>t</m:t>
                    </m:r>
                  </m:sub>
                  <m:sup>
                    <m:r>
                      <w:rPr>
                        <w:rFonts w:ascii="Cambria Math" w:hAnsi="Cambria Math" w:cstheme="majorBidi"/>
                      </w:rPr>
                      <m:t>2</m:t>
                    </m:r>
                  </m:sup>
                </m:sSubSup>
                <m:r>
                  <w:rPr>
                    <w:rFonts w:ascii="Cambria Math" w:hAnsi="Cambria Math" w:cstheme="majorBidi"/>
                  </w:rPr>
                  <m:t>=</m:t>
                </m:r>
                <m:sSubSup>
                  <m:sSubSupPr>
                    <m:ctrlPr>
                      <w:rPr>
                        <w:rFonts w:ascii="Cambria Math" w:hAnsi="Cambria Math" w:cstheme="majorBidi"/>
                        <w:i/>
                        <w:iCs/>
                      </w:rPr>
                    </m:ctrlPr>
                  </m:sSubSupPr>
                  <m:e>
                    <m:r>
                      <w:rPr>
                        <w:rFonts w:ascii="Cambria Math" w:hAnsi="Cambria Math" w:cstheme="majorBidi"/>
                      </w:rPr>
                      <m:t>σ</m:t>
                    </m:r>
                  </m:e>
                  <m:sub>
                    <m:r>
                      <w:rPr>
                        <w:rFonts w:ascii="Cambria Math" w:hAnsi="Cambria Math" w:cstheme="majorBidi"/>
                      </w:rPr>
                      <m:t>a</m:t>
                    </m:r>
                  </m:sub>
                  <m:sup>
                    <m:r>
                      <w:rPr>
                        <w:rFonts w:ascii="Cambria Math" w:hAnsi="Cambria Math" w:cstheme="majorBidi"/>
                      </w:rPr>
                      <m:t>2</m:t>
                    </m:r>
                  </m:sup>
                </m:sSubSup>
                <m:r>
                  <w:rPr>
                    <w:rFonts w:ascii="Cambria Math" w:hAnsi="Cambria Math" w:cstheme="majorBidi"/>
                  </w:rPr>
                  <m:t>+</m:t>
                </m:r>
                <m:sSubSup>
                  <m:sSubSupPr>
                    <m:ctrlPr>
                      <w:rPr>
                        <w:rFonts w:ascii="Cambria Math" w:hAnsi="Cambria Math" w:cstheme="majorBidi"/>
                        <w:i/>
                        <w:iCs/>
                      </w:rPr>
                    </m:ctrlPr>
                  </m:sSubSupPr>
                  <m:e>
                    <m:r>
                      <w:rPr>
                        <w:rFonts w:ascii="Cambria Math" w:hAnsi="Cambria Math" w:cstheme="majorBidi"/>
                      </w:rPr>
                      <m:t>σ</m:t>
                    </m:r>
                  </m:e>
                  <m:sub>
                    <m:r>
                      <w:rPr>
                        <w:rFonts w:ascii="Cambria Math" w:hAnsi="Cambria Math" w:cstheme="majorBidi"/>
                      </w:rPr>
                      <m:t>e</m:t>
                    </m:r>
                  </m:sub>
                  <m:sup>
                    <m:r>
                      <w:rPr>
                        <w:rFonts w:ascii="Cambria Math" w:hAnsi="Cambria Math" w:cstheme="majorBidi"/>
                      </w:rPr>
                      <m:t>2</m:t>
                    </m:r>
                  </m:sup>
                </m:sSubSup>
              </m:oMath>
            </m:oMathPara>
          </w:p>
        </w:tc>
        <w:tc>
          <w:tcPr>
            <w:tcW w:w="1700" w:type="dxa"/>
            <w:vAlign w:val="center"/>
          </w:tcPr>
          <w:p w14:paraId="31443D80" w14:textId="620CDC3F" w:rsidR="00FA6F25" w:rsidRPr="000A7CB7" w:rsidRDefault="00FA6F25" w:rsidP="00CE6F8D">
            <w:pPr>
              <w:spacing w:before="160" w:after="160" w:line="276" w:lineRule="auto"/>
              <w:ind w:right="-110"/>
              <w:jc w:val="right"/>
            </w:pPr>
            <w:r w:rsidRPr="000A7CB7">
              <w:t>(</w:t>
            </w:r>
            <w:r w:rsidRPr="000A7CB7">
              <w:fldChar w:fldCharType="begin"/>
            </w:r>
            <w:r w:rsidRPr="000A7CB7">
              <w:instrText xml:space="preserve"> SEQ Equation \* ARABIC </w:instrText>
            </w:r>
            <w:r w:rsidRPr="000A7CB7">
              <w:fldChar w:fldCharType="separate"/>
            </w:r>
            <w:r w:rsidR="000D6914">
              <w:rPr>
                <w:noProof/>
              </w:rPr>
              <w:t>8</w:t>
            </w:r>
            <w:r w:rsidRPr="000A7CB7">
              <w:fldChar w:fldCharType="end"/>
            </w:r>
            <w:r w:rsidRPr="000A7CB7">
              <w:t>)</w:t>
            </w:r>
          </w:p>
        </w:tc>
      </w:tr>
    </w:tbl>
    <w:p w14:paraId="71592EF4" w14:textId="0A0EC484" w:rsidR="00CA1477" w:rsidRDefault="00CA1477" w:rsidP="00CA1477">
      <w:pPr>
        <w:pStyle w:val="heading1"/>
      </w:pPr>
      <w:r>
        <w:t>Case Study</w:t>
      </w:r>
    </w:p>
    <w:p w14:paraId="2C8DCDB0" w14:textId="3A4C2C0D" w:rsidR="00251926" w:rsidRDefault="00251926" w:rsidP="00251926">
      <w:pPr>
        <w:ind w:firstLine="0"/>
        <w:rPr>
          <w:lang w:val="en-GB"/>
        </w:rPr>
      </w:pPr>
      <w:r>
        <w:rPr>
          <w:lang w:val="en-GB"/>
        </w:rPr>
        <w:t xml:space="preserve">This section briefly introduces the long-span suspension bridge, which is employed to use the recorded wind and vibration data </w:t>
      </w:r>
      <w:r>
        <w:rPr>
          <w:lang w:val="en-GB"/>
        </w:rPr>
        <w:fldChar w:fldCharType="begin"/>
      </w:r>
      <w:r>
        <w:rPr>
          <w:lang w:val="en-GB"/>
        </w:rPr>
        <w:instrText xml:space="preserve"> ADDIN EN.CITE &lt;EndNote&gt;&lt;Cite&gt;&lt;Author&gt;Fenerci&lt;/Author&gt;&lt;Year&gt;2021&lt;/Year&gt;&lt;RecNum&gt;2589&lt;/RecNum&gt;&lt;DisplayText&gt;[4]&lt;/DisplayText&gt;&lt;record&gt;&lt;rec-number&gt;2589&lt;/rec-number&gt;&lt;foreign-keys&gt;&lt;key app="EN" db-id="ttpsppas4a5wvfea9xr529sw20d5s2r2fsss" timestamp="1686848350"&gt;2589&lt;/key&gt;&lt;/foreign-keys&gt;&lt;ref-type name="Journal Article"&gt;17&lt;/ref-type&gt;&lt;contributors&gt;&lt;authors&gt;&lt;author&gt;Fenerci, Aksel &lt;/author&gt;&lt;author&gt;Kvåle, Knut Andreas &lt;/author&gt;&lt;author&gt;Petersen, Øyvind Wiig &lt;/author&gt;&lt;author&gt;Rønnquist, Anders &lt;/author&gt;&lt;author&gt;Øiseth, Ole &lt;/author&gt;&lt;/authors&gt;&lt;/contributors&gt;&lt;titles&gt;&lt;title&gt;Data set from long-term wind and acceleration monitoring of the Hardanger Bridge&lt;/title&gt;&lt;secondary-title&gt;Journal of Structural Engineering&lt;/secondary-title&gt;&lt;/titles&gt;&lt;periodical&gt;&lt;full-title&gt;Journal of Structural Engineering&lt;/full-title&gt;&lt;abbr-1&gt;J. Struct. Eng.&lt;/abbr-1&gt;&lt;abbr-2&gt;J Struct Eng&lt;/abbr-2&gt;&lt;/periodical&gt;&lt;pages&gt;04721003&lt;/pages&gt;&lt;volume&gt;147&lt;/volume&gt;&lt;number&gt;5&lt;/number&gt;&lt;dates&gt;&lt;year&gt;2021&lt;/year&gt;&lt;/dates&gt;&lt;urls&gt;&lt;related-urls&gt;&lt;url&gt;https://ascelibrary.org/doi/abs/10.1061/%28ASCE%29ST.1943-541X.0002997&lt;/url&gt;&lt;/related-urls&gt;&lt;/urls&gt;&lt;electronic-resource-num&gt;https://doi.org/10.1061/(ASCE)ST.1943-541X.0002997&lt;/electronic-resource-num&gt;&lt;/record&gt;&lt;/Cite&gt;&lt;/EndNote&gt;</w:instrText>
      </w:r>
      <w:r>
        <w:rPr>
          <w:lang w:val="en-GB"/>
        </w:rPr>
        <w:fldChar w:fldCharType="separate"/>
      </w:r>
      <w:r>
        <w:rPr>
          <w:noProof/>
          <w:lang w:val="en-GB"/>
        </w:rPr>
        <w:t>[4]</w:t>
      </w:r>
      <w:r>
        <w:rPr>
          <w:lang w:val="en-GB"/>
        </w:rPr>
        <w:fldChar w:fldCharType="end"/>
      </w:r>
      <w:r>
        <w:rPr>
          <w:lang w:val="en-GB"/>
        </w:rPr>
        <w:t xml:space="preserve"> for validating the proposed method. This case study refers to th</w:t>
      </w:r>
      <w:r w:rsidR="00CA1477" w:rsidRPr="00475231">
        <w:rPr>
          <w:lang w:val="en-GB"/>
        </w:rPr>
        <w:t>e Hardanger Bridge</w:t>
      </w:r>
      <w:r>
        <w:rPr>
          <w:lang w:val="en-GB"/>
        </w:rPr>
        <w:t>, where</w:t>
      </w:r>
      <w:r w:rsidR="00CA1477" w:rsidRPr="00475231">
        <w:rPr>
          <w:lang w:val="en-GB"/>
        </w:rPr>
        <w:t xml:space="preserve"> is located at the west coast of</w:t>
      </w:r>
      <w:r w:rsidR="00CA1477">
        <w:rPr>
          <w:lang w:val="en-GB"/>
        </w:rPr>
        <w:t xml:space="preserve"> </w:t>
      </w:r>
      <w:r w:rsidR="00CA1477" w:rsidRPr="00475231">
        <w:rPr>
          <w:lang w:val="en-GB"/>
        </w:rPr>
        <w:t xml:space="preserve">Norway. </w:t>
      </w:r>
      <w:r w:rsidRPr="00F86722">
        <w:fldChar w:fldCharType="begin"/>
      </w:r>
      <w:r w:rsidRPr="00F86722">
        <w:instrText xml:space="preserve"> REF _Ref198397635 \h </w:instrText>
      </w:r>
      <w:r>
        <w:instrText xml:space="preserve"> \* MERGEFORMAT </w:instrText>
      </w:r>
      <w:r w:rsidRPr="00F86722">
        <w:fldChar w:fldCharType="separate"/>
      </w:r>
      <w:r w:rsidR="000D6914" w:rsidRPr="000D6914">
        <w:t>Fig. 2</w:t>
      </w:r>
      <w:r w:rsidRPr="00F86722">
        <w:fldChar w:fldCharType="end"/>
      </w:r>
      <w:r>
        <w:t xml:space="preserve"> shows real views of this bridge. </w:t>
      </w:r>
      <w:r w:rsidR="009F030A">
        <w:t xml:space="preserve">The Hardanger Bridge features a large length-to-width ratio, making it slender and highly susceptible to wind-induced vibrations. To address this vulnerability, a comprehensive SHM system was deployed, consisting of twenty triaxial accelerometers, nine triaxial ultrasonic anemometers, data loggers, Wi-Fi antennas, and GPS sensors to monitor both normal and storm conditions. </w:t>
      </w:r>
      <w:r w:rsidR="009F030A" w:rsidRPr="00507D50">
        <w:rPr>
          <w:b/>
          <w:bCs/>
        </w:rPr>
        <w:fldChar w:fldCharType="begin"/>
      </w:r>
      <w:r w:rsidR="009F030A">
        <w:instrText xml:space="preserve"> REF _Ref198409003 \h </w:instrText>
      </w:r>
      <w:r w:rsidR="009F030A">
        <w:rPr>
          <w:b/>
          <w:bCs/>
        </w:rPr>
        <w:instrText xml:space="preserve"> \* MERGEFORMAT </w:instrText>
      </w:r>
      <w:r w:rsidR="009F030A" w:rsidRPr="00507D50">
        <w:rPr>
          <w:b/>
          <w:bCs/>
        </w:rPr>
      </w:r>
      <w:r w:rsidR="009F030A" w:rsidRPr="00507D50">
        <w:rPr>
          <w:b/>
          <w:bCs/>
        </w:rPr>
        <w:fldChar w:fldCharType="separate"/>
      </w:r>
      <w:r w:rsidR="000D6914" w:rsidRPr="000D6914">
        <w:t>Fig. 3</w:t>
      </w:r>
      <w:r w:rsidR="009F030A" w:rsidRPr="00507D50">
        <w:rPr>
          <w:b/>
          <w:bCs/>
        </w:rPr>
        <w:fldChar w:fldCharType="end"/>
      </w:r>
      <w:r w:rsidR="009F030A">
        <w:rPr>
          <w:rStyle w:val="Strong"/>
        </w:rPr>
        <w:t xml:space="preserve"> </w:t>
      </w:r>
      <w:r w:rsidR="009F030A">
        <w:t>illustrates the sensor arrangement and labels.</w:t>
      </w:r>
    </w:p>
    <w:p w14:paraId="3B973F8B" w14:textId="77777777" w:rsidR="00752257" w:rsidRDefault="00752257" w:rsidP="00D734FE">
      <w:pPr>
        <w:keepNext/>
        <w:spacing w:before="360"/>
        <w:ind w:firstLine="0"/>
        <w:jc w:val="center"/>
      </w:pPr>
      <w:r>
        <w:rPr>
          <w:noProof/>
          <w:sz w:val="24"/>
          <w:szCs w:val="24"/>
        </w:rPr>
        <w:drawing>
          <wp:inline distT="0" distB="0" distL="0" distR="0" wp14:anchorId="20174954" wp14:editId="1AC10DE6">
            <wp:extent cx="3960000" cy="1839878"/>
            <wp:effectExtent l="0" t="0" r="254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000" cy="1839878"/>
                    </a:xfrm>
                    <a:prstGeom prst="rect">
                      <a:avLst/>
                    </a:prstGeom>
                    <a:noFill/>
                  </pic:spPr>
                </pic:pic>
              </a:graphicData>
            </a:graphic>
          </wp:inline>
        </w:drawing>
      </w:r>
    </w:p>
    <w:p w14:paraId="73905664" w14:textId="3B1A138A" w:rsidR="00CA1477" w:rsidRDefault="00752257" w:rsidP="00C16A63">
      <w:pPr>
        <w:pStyle w:val="Caption"/>
        <w:rPr>
          <w:szCs w:val="20"/>
        </w:rPr>
      </w:pPr>
      <w:bookmarkStart w:id="2" w:name="_Ref198397635"/>
      <w:r w:rsidRPr="00F86722">
        <w:rPr>
          <w:b/>
          <w:bCs/>
        </w:rPr>
        <w:t xml:space="preserve">Fig. </w:t>
      </w:r>
      <w:r w:rsidRPr="00F86722">
        <w:rPr>
          <w:b/>
          <w:bCs/>
        </w:rPr>
        <w:fldChar w:fldCharType="begin"/>
      </w:r>
      <w:r w:rsidRPr="00F86722">
        <w:rPr>
          <w:b/>
          <w:bCs/>
        </w:rPr>
        <w:instrText xml:space="preserve"> SEQ Fig. \* ARABIC </w:instrText>
      </w:r>
      <w:r w:rsidRPr="00F86722">
        <w:rPr>
          <w:b/>
          <w:bCs/>
        </w:rPr>
        <w:fldChar w:fldCharType="separate"/>
      </w:r>
      <w:r w:rsidR="000D6914">
        <w:rPr>
          <w:b/>
          <w:bCs/>
          <w:noProof/>
        </w:rPr>
        <w:t>2</w:t>
      </w:r>
      <w:r w:rsidRPr="00F86722">
        <w:rPr>
          <w:b/>
          <w:bCs/>
        </w:rPr>
        <w:fldChar w:fldCharType="end"/>
      </w:r>
      <w:bookmarkEnd w:id="2"/>
      <w:r>
        <w:t>. The long-span suspension bridge called t</w:t>
      </w:r>
      <w:r w:rsidRPr="004B4068">
        <w:rPr>
          <w:szCs w:val="20"/>
        </w:rPr>
        <w:t>he Hardanger Bridge</w:t>
      </w:r>
      <w:r>
        <w:rPr>
          <w:szCs w:val="20"/>
        </w:rPr>
        <w:t xml:space="preserve"> located in Norway</w:t>
      </w:r>
    </w:p>
    <w:p w14:paraId="15FCE22C" w14:textId="77777777" w:rsidR="009F030A" w:rsidRDefault="009F030A" w:rsidP="009F030A">
      <w:pPr>
        <w:keepNext/>
        <w:spacing w:before="360"/>
        <w:ind w:firstLine="0"/>
      </w:pPr>
      <w:r>
        <w:rPr>
          <w:noProof/>
        </w:rPr>
        <w:drawing>
          <wp:inline distT="0" distB="0" distL="0" distR="0" wp14:anchorId="65F19746" wp14:editId="004558C0">
            <wp:extent cx="4392000" cy="910233"/>
            <wp:effectExtent l="0" t="0" r="0" b="4445"/>
            <wp:docPr id="4"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2000" cy="910233"/>
                    </a:xfrm>
                    <a:prstGeom prst="rect">
                      <a:avLst/>
                    </a:prstGeom>
                    <a:noFill/>
                    <a:ln>
                      <a:noFill/>
                    </a:ln>
                  </pic:spPr>
                </pic:pic>
              </a:graphicData>
            </a:graphic>
          </wp:inline>
        </w:drawing>
      </w:r>
    </w:p>
    <w:p w14:paraId="016EE2BB" w14:textId="181D7A0D" w:rsidR="009F030A" w:rsidRPr="009F030A" w:rsidRDefault="009F030A" w:rsidP="009F030A">
      <w:pPr>
        <w:pStyle w:val="Caption"/>
        <w:rPr>
          <w:color w:val="000000"/>
        </w:rPr>
      </w:pPr>
      <w:bookmarkStart w:id="3" w:name="_Ref198409003"/>
      <w:r w:rsidRPr="007A0254">
        <w:rPr>
          <w:b/>
          <w:bCs/>
        </w:rPr>
        <w:t xml:space="preserve">Fig. </w:t>
      </w:r>
      <w:r w:rsidRPr="007A0254">
        <w:rPr>
          <w:b/>
          <w:bCs/>
        </w:rPr>
        <w:fldChar w:fldCharType="begin"/>
      </w:r>
      <w:r w:rsidRPr="007A0254">
        <w:rPr>
          <w:b/>
          <w:bCs/>
        </w:rPr>
        <w:instrText xml:space="preserve"> SEQ Fig. \* ARABIC </w:instrText>
      </w:r>
      <w:r w:rsidRPr="007A0254">
        <w:rPr>
          <w:b/>
          <w:bCs/>
        </w:rPr>
        <w:fldChar w:fldCharType="separate"/>
      </w:r>
      <w:r w:rsidR="000D6914">
        <w:rPr>
          <w:b/>
          <w:bCs/>
          <w:noProof/>
        </w:rPr>
        <w:t>3</w:t>
      </w:r>
      <w:r w:rsidRPr="007A0254">
        <w:rPr>
          <w:b/>
          <w:bCs/>
        </w:rPr>
        <w:fldChar w:fldCharType="end"/>
      </w:r>
      <w:bookmarkEnd w:id="3"/>
      <w:r>
        <w:t>. Se</w:t>
      </w:r>
      <w:r w:rsidRPr="00F51A2C">
        <w:t>nsor systems</w:t>
      </w:r>
      <w:r>
        <w:t xml:space="preserve"> and locations</w:t>
      </w:r>
      <w:r w:rsidRPr="00F51A2C">
        <w:t xml:space="preserve"> in the Hardanger Bridge</w:t>
      </w:r>
      <w:r w:rsidRPr="006A66E9">
        <w:rPr>
          <w:color w:val="000000"/>
        </w:rPr>
        <w:t xml:space="preserve"> </w:t>
      </w:r>
      <w:sdt>
        <w:sdtPr>
          <w:rPr>
            <w:color w:val="000000"/>
          </w:rPr>
          <w:tag w:val="MENDELEY_CITATION_v3_eyJjaXRhdGlvbklEIjoiTUVOREVMRVlfQ0lUQVRJT05fOWFmYTI2MWUtOWJlNC00ZjJjLWI1YTQtMDliYTg5NDIxMDczIiwicHJvcGVydGllcyI6eyJub3RlSW5kZXgiOjB9LCJpc0VkaXRlZCI6ZmFsc2UsIm1hbnVhbE92ZXJyaWRlIjp7ImlzTWFudWFsbHlPdmVycmlkZGVuIjpmYWxzZSwiY2l0ZXByb2NUZXh0IjoiWzVdIiwibWFudWFsT3ZlcnJpZGVUZXh0IjoiIn0sImNpdGF0aW9uSXRlbXMiOlt7ImlkIjoiNGY3MTY2MTYtZDc5Ny0zYjI5LWJjZTAtZDA4YWVlMmYwMzQ3IiwiaXRlbURhdGEiOnsidHlwZSI6ImFydGljbGUtam91cm5hbCIsImlkIjoiNGY3MTY2MTYtZDc5Ny0zYjI5LWJjZTAtZDA4YWVlMmYwMzQ3IiwidGl0bGUiOiJEYXRhIFNldCBmcm9tIExvbmctVGVybSBXaW5kIGFuZCBBY2NlbGVyYXRpb24gTW9uaXRvcmluZyBvZiB0aGUgSGFyZGFuZ2VyIEJyaWRnZSIsImF1dGhvciI6W3siZmFtaWx5IjoiRmVuZXJjaSIsImdpdmVuIjoiQWtzZWwiLCJwYXJzZS1uYW1lcyI6ZmFsc2UsImRyb3BwaW5nLXBhcnRpY2xlIjoiIiwibm9uLWRyb3BwaW5nLXBhcnRpY2xlIjoiIn0seyJmYW1pbHkiOiJBbmRyZWFzIEt2w6VsZSIsImdpdmVuIjoiS251dCIsInBhcnNlLW5hbWVzIjpmYWxzZSwiZHJvcHBpbmctcGFydGljbGUiOiIiLCJub24tZHJvcHBpbmctcGFydGljbGUiOiIifSx7ImZhbWlseSI6IldpaWcgUGV0ZXJzZW4iLCJnaXZlbiI6IsOYeXZpbmQiLCJwYXJzZS1uYW1lcyI6ZmFsc2UsImRyb3BwaW5nLXBhcnRpY2xlIjoiIiwibm9uLWRyb3BwaW5nLXBhcnRpY2xlIjoiIn0seyJmYW1pbHkiOiJSw7hubnF1aXN0IiwiZ2l2ZW4iOiJBbmRlcnMiLCJwYXJzZS1uYW1lcyI6ZmFsc2UsImRyb3BwaW5nLXBhcnRpY2xlIjoiIiwibm9uLWRyb3BwaW5nLXBhcnRpY2xlIjoiIn0seyJmYW1pbHkiOiLDmGlzZXRoIiwiZ2l2ZW4iOiJPbGUiLCJwYXJzZS1uYW1lcyI6ZmFsc2UsImRyb3BwaW5nLXBhcnRpY2xlIjoiIiwibm9uLWRyb3BwaW5nLXBhcnRpY2xlIjoiIn1dLCJjb250YWluZXItdGl0bGUiOiJKb3VybmFsIG9mIFN0cnVjdHVyYWwgRW5naW5lZXJpbmciLCJET0kiOiIxMC4xMDYxLyhhc2NlKXN0LjE5NDMtNTQxeC4wMDAyOTk3IiwiSVNTTiI6IjA3MzMtOTQ0NSIsImlzc3VlZCI6eyJkYXRlLXBhcnRzIjpbWzIwMjEsNV1dfSwiYWJzdHJhY3QiOiJBIGxhcmdlIGRhdGEgc2V0IG9mIHdpbmQgYW5kIGFjY2VsZXJhdGlvbiBkYXRhIGNvbGxlY3RlZCB0aHJvdWdoIGxvbmctdGVybSBtb25pdG9yaW5nIG9mIHRoZSBIYXJkYW5nZXIgQnJpZGdlIGluIE5vcndheSBpcyBkZXNjcmliZWQgaW4gdGhpcyBkYXRhIHBhcGVyLiBUaGUgZGF0YSBzZXQgaW5jbHVkZXMgYm90aCByYXcgZGF0YSBhbmQgb3JnYW5pemVkIGRhdGEsIGFuZCBpdCBpcyBwdWJsaXNoZWQgaW4gYW4gb3Blbi1hY2Nlc3MgZGF0YSByZXBvc2l0b3J5IGFuZCwgdGhlcmVmb3JlLCBjYW4gYmUgYWNjZXNzZWQgYW5kIGRvd25sb2FkZWQgZnJlZWx5LiBGaXJzdCwgdGhlIG1vbml0b3Jpbmcgc3lzdGVtIHVzZWQgdG8gYWNxdWlyZSB0aGUgZGF0YSBhbmQgdGhlIGJyaWRnZSBhcmUgZGVzY3JpYmVkLiBOZXh0LCB0aGUgbWV0aG9kcyBvZiBzaWduYWwgcHJvY2Vzc2luZyBhbmQgZGF0YSBhZGp1c3RpbmcgYXJlIGFkZHJlc3NlZC4gTGFzdCwgdGhlIG9yZ2FuaXphdGlvbiBvZiB0aGUgZGF0YSBzZXQgaXMgZGVzY3JpYmVkLCBhbmQgdGhlIGNvbnRlbnRzIGFyZSBzdW1tYXJpemVkLiIsInB1Ymxpc2hlciI6IkFtZXJpY2FuIFNvY2lldHkgb2YgQ2l2aWwgRW5naW5lZXJzIChBU0NFKSIsImlzc3VlIjoiNSIsInZvbHVtZSI6IjE0NyIsImNvbnRhaW5lci10aXRsZS1zaG9ydCI6IiJ9LCJpc1RlbXBvcmFyeSI6ZmFsc2V9XX0="/>
          <w:id w:val="-136342678"/>
          <w:placeholder>
            <w:docPart w:val="256E21ED707D4E8797E7FB1F2437041E"/>
          </w:placeholder>
        </w:sdtPr>
        <w:sdtContent>
          <w:r w:rsidRPr="002833F5">
            <w:rPr>
              <w:color w:val="000000"/>
            </w:rPr>
            <w:t>[5]</w:t>
          </w:r>
        </w:sdtContent>
      </w:sdt>
    </w:p>
    <w:p w14:paraId="2BAE2419" w14:textId="65F6D5AE" w:rsidR="00FE6B0C" w:rsidRDefault="00507D50" w:rsidP="009F030A">
      <w:r>
        <w:t xml:space="preserve">Four accelerometers (T1W, T1E, T2W, and T2E) were installed on the bridge towers, while the remaining sixteen were positioned inside the girder to capture torsional </w:t>
      </w:r>
      <w:r>
        <w:lastRenderedPageBreak/>
        <w:t xml:space="preserve">motions, with the exception of H2W and H8E. Each accelerometer is capable of measuring up to ±4g at a 200 Hz sampling rate. Among the nine anemometers, eight were mounted along the deck at a height of 8 meters to minimize flow disturbances, while the remaining anemometer (A9) was positioned on the second tower. All anemometers are designed to measure wind speeds of up to 65 m/s at a sampling rate of 32 Hz </w:t>
      </w:r>
      <w:r w:rsidR="008B3AC4">
        <w:fldChar w:fldCharType="begin"/>
      </w:r>
      <w:r w:rsidR="008B3AC4">
        <w:instrText xml:space="preserve"> ADDIN EN.CITE &lt;EndNote&gt;&lt;Cite&gt;&lt;Author&gt;Fenerci&lt;/Author&gt;&lt;Year&gt;2021&lt;/Year&gt;&lt;RecNum&gt;2589&lt;/RecNum&gt;&lt;DisplayText&gt;[4]&lt;/DisplayText&gt;&lt;record&gt;&lt;rec-number&gt;2589&lt;/rec-number&gt;&lt;foreign-keys&gt;&lt;key app="EN" db-id="ttpsppas4a5wvfea9xr529sw20d5s2r2fsss" timestamp="1686848350"&gt;2589&lt;/key&gt;&lt;/foreign-keys&gt;&lt;ref-type name="Journal Article"&gt;17&lt;/ref-type&gt;&lt;contributors&gt;&lt;authors&gt;&lt;author&gt;Fenerci, Aksel &lt;/author&gt;&lt;author&gt;Kvåle, Knut Andreas &lt;/author&gt;&lt;author&gt;Petersen, Øyvind Wiig &lt;/author&gt;&lt;author&gt;Rønnquist, Anders &lt;/author&gt;&lt;author&gt;Øiseth, Ole &lt;/author&gt;&lt;/authors&gt;&lt;/contributors&gt;&lt;titles&gt;&lt;title&gt;Data set from long-term wind and acceleration monitoring of the Hardanger Bridge&lt;/title&gt;&lt;secondary-title&gt;Journal of Structural Engineering&lt;/secondary-title&gt;&lt;/titles&gt;&lt;periodical&gt;&lt;full-title&gt;Journal of Structural Engineering&lt;/full-title&gt;&lt;abbr-1&gt;J. Struct. Eng.&lt;/abbr-1&gt;&lt;abbr-2&gt;J Struct Eng&lt;/abbr-2&gt;&lt;/periodical&gt;&lt;pages&gt;04721003&lt;/pages&gt;&lt;volume&gt;147&lt;/volume&gt;&lt;number&gt;5&lt;/number&gt;&lt;dates&gt;&lt;year&gt;2021&lt;/year&gt;&lt;/dates&gt;&lt;urls&gt;&lt;related-urls&gt;&lt;url&gt;https://ascelibrary.org/doi/abs/10.1061/%28ASCE%29ST.1943-541X.0002997&lt;/url&gt;&lt;/related-urls&gt;&lt;/urls&gt;&lt;electronic-resource-num&gt;https://doi.org/10.1061/(ASCE)ST.1943-541X.0002997&lt;/electronic-resource-num&gt;&lt;/record&gt;&lt;/Cite&gt;&lt;/EndNote&gt;</w:instrText>
      </w:r>
      <w:r w:rsidR="008B3AC4">
        <w:fldChar w:fldCharType="separate"/>
      </w:r>
      <w:r w:rsidR="008B3AC4">
        <w:rPr>
          <w:noProof/>
        </w:rPr>
        <w:t>[4]</w:t>
      </w:r>
      <w:r w:rsidR="008B3AC4">
        <w:fldChar w:fldCharType="end"/>
      </w:r>
      <w:r w:rsidR="00FE6B0C">
        <w:t>.</w:t>
      </w:r>
      <w:r>
        <w:t xml:space="preserve"> </w:t>
      </w:r>
      <w:r w:rsidRPr="00C16514">
        <w:t>During 2015–2016, the Hardanger Bridge</w:t>
      </w:r>
      <w:r>
        <w:t xml:space="preserve"> experienced some strong windstorms. In this study, wind data and acceleration responses of four storms are used to validate the proposed method. The wind data are related to the anemometer A</w:t>
      </w:r>
      <w:r w:rsidR="00EC720C">
        <w:t>6</w:t>
      </w:r>
      <w:r>
        <w:t xml:space="preserve"> and the vertical acceleration responses of the accelerometers H5W and H5E are used to compute the torsional vibration response given the width bridge equal to 18.3</w:t>
      </w:r>
      <w:r w:rsidR="00E12833">
        <w:t xml:space="preserve"> m</w:t>
      </w:r>
      <w:r>
        <w:t>.</w:t>
      </w:r>
    </w:p>
    <w:p w14:paraId="1D503AF7" w14:textId="2A267D1E" w:rsidR="002E276A" w:rsidRDefault="002E276A" w:rsidP="002E276A">
      <w:pPr>
        <w:pStyle w:val="heading1"/>
      </w:pPr>
      <w:r>
        <w:t>Results and Discussions</w:t>
      </w:r>
    </w:p>
    <w:p w14:paraId="3F611529" w14:textId="736FCFE6" w:rsidR="00C05D54" w:rsidRDefault="002E0D80" w:rsidP="002E0D80">
      <w:pPr>
        <w:pStyle w:val="p1a"/>
      </w:pPr>
      <w:r>
        <w:t xml:space="preserve">The prediction of torsional dynamic responses under wind-induced loads is performed using a supervised regression approach through the BNN-aided predictive model. The first step involves defining the training and testing datasets. In this study, each dataset consists of wind-related predictors, including mean wind </w:t>
      </w:r>
      <m:oMath>
        <m:acc>
          <m:accPr>
            <m:chr m:val="̅"/>
            <m:ctrlPr>
              <w:rPr>
                <w:rFonts w:ascii="Cambria Math" w:hAnsi="Cambria Math"/>
                <w:i/>
              </w:rPr>
            </m:ctrlPr>
          </m:accPr>
          <m:e>
            <m:r>
              <w:rPr>
                <w:rFonts w:ascii="Cambria Math" w:hAnsi="Cambria Math"/>
              </w:rPr>
              <m:t>U</m:t>
            </m:r>
          </m:e>
        </m:acc>
      </m:oMath>
      <w:r w:rsidR="00C05D54" w:rsidRPr="00143C14">
        <w:t xml:space="preserve"> , wind direction </w:t>
      </w:r>
      <m:oMath>
        <m:r>
          <w:rPr>
            <w:rFonts w:ascii="Cambria Math" w:hAnsi="Cambria Math"/>
          </w:rPr>
          <m:t>θ</m:t>
        </m:r>
      </m:oMath>
      <w:r w:rsidR="00C05D54" w:rsidRPr="00143C14">
        <w:t xml:space="preserve">, yaw Angle </w:t>
      </w:r>
      <m:oMath>
        <m:r>
          <w:rPr>
            <w:rFonts w:ascii="Cambria Math" w:hAnsi="Cambria Math"/>
          </w:rPr>
          <m:t>β</m:t>
        </m:r>
      </m:oMath>
      <w:r w:rsidR="00C05D54" w:rsidRPr="00143C14">
        <w:t>, turbulence intensities</w:t>
      </w:r>
      <w:r w:rsidR="00C05D54" w:rsidRPr="00207793">
        <w:rPr>
          <w:iCs/>
        </w:rPr>
        <w:t xml:space="preserve"> </w:t>
      </w:r>
      <m:oMath>
        <m:r>
          <m:rPr>
            <m:sty m:val="p"/>
          </m:rP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w</m:t>
            </m:r>
          </m:sub>
        </m:sSub>
        <m:r>
          <m:rPr>
            <m:sty m:val="p"/>
          </m:rPr>
          <w:rPr>
            <w:rFonts w:ascii="Cambria Math" w:hAnsi="Cambria Math"/>
          </w:rPr>
          <m:t>)</m:t>
        </m:r>
      </m:oMath>
      <w:r w:rsidR="00C05D54" w:rsidRPr="00207793">
        <w:rPr>
          <w:iCs/>
        </w:rPr>
        <w:t xml:space="preserve"> </w:t>
      </w:r>
      <w:r w:rsidR="00C05D54" w:rsidRPr="00143C14">
        <w:t xml:space="preserve">, standard deviations </w:t>
      </w:r>
      <m:oMath>
        <m:d>
          <m:dPr>
            <m:ctrlPr>
              <w:rPr>
                <w:rFonts w:ascii="Cambria Math" w:hAnsi="Cambria Math"/>
                <w:i/>
              </w:rPr>
            </m:ctrlPr>
          </m:dPr>
          <m:e>
            <m:sSub>
              <m:sSubPr>
                <m:ctrlPr>
                  <w:rPr>
                    <w:rFonts w:ascii="Cambria Math" w:hAnsi="Cambria Math"/>
                  </w:rPr>
                </m:ctrlPr>
              </m:sSubPr>
              <m:e>
                <m:r>
                  <w:rPr>
                    <w:rFonts w:ascii="Cambria Math" w:hAnsi="Cambria Math"/>
                  </w:rPr>
                  <m:t>σ</m:t>
                </m:r>
              </m:e>
              <m:sub>
                <m:r>
                  <w:rPr>
                    <w:rFonts w:ascii="Cambria Math" w:hAnsi="Cambria Math"/>
                  </w:rPr>
                  <m:t>u</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w</m:t>
                </m:r>
              </m:sub>
            </m:sSub>
          </m:e>
        </m:d>
      </m:oMath>
      <w:r w:rsidR="00C05D54" w:rsidRPr="00207793">
        <w:rPr>
          <w:iCs/>
        </w:rPr>
        <w:t xml:space="preserve"> , gust factor </w:t>
      </w:r>
      <m:oMath>
        <m:sSub>
          <m:sSubPr>
            <m:ctrlPr>
              <w:rPr>
                <w:rFonts w:ascii="Cambria Math" w:hAnsi="Cambria Math"/>
              </w:rPr>
            </m:ctrlPr>
          </m:sSubPr>
          <m:e>
            <m:r>
              <w:rPr>
                <w:rFonts w:ascii="Cambria Math" w:hAnsi="Cambria Math"/>
              </w:rPr>
              <m:t>G</m:t>
            </m:r>
          </m:e>
          <m:sub>
            <m:r>
              <w:rPr>
                <w:rFonts w:ascii="Cambria Math" w:hAnsi="Cambria Math"/>
              </w:rPr>
              <m:t>u</m:t>
            </m:r>
          </m:sub>
        </m:sSub>
      </m:oMath>
      <w:r w:rsidR="00C05D54" w:rsidRPr="00143C14">
        <w:t xml:space="preserve"> , and </w:t>
      </w:r>
      <w:r w:rsidR="00C05D54">
        <w:t>t</w:t>
      </w:r>
      <w:r w:rsidR="00C05D54" w:rsidRPr="00143C14">
        <w:t xml:space="preserve">urbulence length scale </w:t>
      </w:r>
      <m:oMath>
        <m:r>
          <m:rPr>
            <m:sty m:val="p"/>
          </m:rP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w</m:t>
            </m:r>
          </m:sub>
        </m:sSub>
        <m:r>
          <m:rPr>
            <m:sty m:val="p"/>
          </m:rPr>
          <w:rPr>
            <w:rFonts w:ascii="Cambria Math" w:hAnsi="Cambria Math"/>
          </w:rPr>
          <m:t>)</m:t>
        </m:r>
      </m:oMath>
      <w:r w:rsidR="00C05D54" w:rsidRPr="00207793">
        <w:rPr>
          <w:iCs/>
        </w:rPr>
        <w:t>,</w:t>
      </w:r>
      <w:r w:rsidR="00C05D54">
        <w:rPr>
          <w:iCs/>
        </w:rPr>
        <w:t xml:space="preserve"> </w:t>
      </w:r>
      <w:r w:rsidR="00C05D54" w:rsidRPr="00143C14">
        <w:t xml:space="preserve">together with the torsional acceleration RMS response. </w:t>
      </w:r>
    </w:p>
    <w:p w14:paraId="34D6400A" w14:textId="4C5058BA" w:rsidR="00C05D54" w:rsidRDefault="00C05D54" w:rsidP="00C05D54">
      <w:pPr>
        <w:pStyle w:val="heading2"/>
      </w:pPr>
      <w:r w:rsidRPr="00271AED">
        <w:t xml:space="preserve">Analysis </w:t>
      </w:r>
      <w:r w:rsidRPr="00C05D54">
        <w:t>of</w:t>
      </w:r>
      <w:r w:rsidRPr="00271AED">
        <w:t xml:space="preserve"> </w:t>
      </w:r>
      <w:r w:rsidR="000D6914">
        <w:t>Torsional Response</w:t>
      </w:r>
      <w:r w:rsidRPr="00271AED">
        <w:t xml:space="preserve"> and Key Wind Parameters</w:t>
      </w:r>
    </w:p>
    <w:p w14:paraId="589D9731" w14:textId="77777777" w:rsidR="002A45CB" w:rsidRDefault="000D6914" w:rsidP="002A45CB">
      <w:pPr>
        <w:ind w:firstLine="0"/>
      </w:pPr>
      <w:r>
        <w:t xml:space="preserve">To analysis the torsional vibration response and wind parameter, the raw acceleration and wind data are averaged under the averaging time interval of 10 min. For the torsional response, the main vibration feature is the RMS value (i.e., in the unit of rad/s²) of each averaging interval, yielding 180 samples for four storms. </w:t>
      </w:r>
      <w:r>
        <w:fldChar w:fldCharType="begin"/>
      </w:r>
      <w:r>
        <w:instrText xml:space="preserve"> REF _Ref198409843 \h  \* MERGEFORMAT </w:instrText>
      </w:r>
      <w:r>
        <w:fldChar w:fldCharType="separate"/>
      </w:r>
      <w:r w:rsidRPr="000D6914">
        <w:t>Fig. 4</w:t>
      </w:r>
      <w:r>
        <w:fldChar w:fldCharType="end"/>
      </w:r>
      <w:r>
        <w:t xml:space="preserve">(a) shows the variations in 180 RMS values of the torsional response under the four storms. Moreover, the use of the 10 min averaging interval leads to the same number of mean wind speed and mean wind direction, as shown in </w:t>
      </w:r>
      <w:r>
        <w:fldChar w:fldCharType="begin"/>
      </w:r>
      <w:r>
        <w:instrText xml:space="preserve"> REF _Ref198409843 \h  \* MERGEFORMAT </w:instrText>
      </w:r>
      <w:r>
        <w:fldChar w:fldCharType="separate"/>
      </w:r>
      <w:r w:rsidRPr="000D6914">
        <w:t>Fig. 4</w:t>
      </w:r>
      <w:r>
        <w:fldChar w:fldCharType="end"/>
      </w:r>
      <w:r>
        <w:t xml:space="preserve">(b)-(c), respectively. </w:t>
      </w:r>
    </w:p>
    <w:p w14:paraId="0DA537EC" w14:textId="165F1461" w:rsidR="002A45CB" w:rsidRDefault="000D6914" w:rsidP="002A45CB">
      <w:r>
        <w:t xml:space="preserve">For more details, </w:t>
      </w:r>
      <w:r>
        <w:fldChar w:fldCharType="begin"/>
      </w:r>
      <w:r>
        <w:instrText xml:space="preserve"> REF _Ref198410177 \h  \* MERGEFORMAT </w:instrText>
      </w:r>
      <w:r>
        <w:fldChar w:fldCharType="separate"/>
      </w:r>
      <w:r w:rsidRPr="000D6914">
        <w:t>Fig. 5</w:t>
      </w:r>
      <w:r>
        <w:fldChar w:fldCharType="end"/>
      </w:r>
      <w:r>
        <w:t xml:space="preserve"> indicate the variability relationship between the torsional response of the mean wind speed and mean wind direction. </w:t>
      </w:r>
      <w:r w:rsidR="002A45CB">
        <w:t xml:space="preserve">In </w:t>
      </w:r>
      <w:r w:rsidR="002A45CB">
        <w:fldChar w:fldCharType="begin"/>
      </w:r>
      <w:r w:rsidR="002A45CB">
        <w:instrText xml:space="preserve"> REF _Ref198410177 \h  \* MERGEFORMAT </w:instrText>
      </w:r>
      <w:r w:rsidR="002A45CB">
        <w:fldChar w:fldCharType="separate"/>
      </w:r>
      <w:r w:rsidR="002A45CB" w:rsidRPr="000D6914">
        <w:t>Fig. 5</w:t>
      </w:r>
      <w:r w:rsidR="002A45CB">
        <w:fldChar w:fldCharType="end"/>
      </w:r>
      <w:r w:rsidR="002A45CB">
        <w:t xml:space="preserve">(a), one can observe that there is a </w:t>
      </w:r>
      <w:r w:rsidR="002A45CB" w:rsidRPr="002A45CB">
        <w:rPr>
          <w:rStyle w:val="Strong"/>
          <w:b w:val="0"/>
          <w:bCs w:val="0"/>
        </w:rPr>
        <w:t>positive correlation</w:t>
      </w:r>
      <w:r w:rsidR="002A45CB">
        <w:t xml:space="preserve"> between mean wind speed and torsional RMS acceleration for all storm events. As the wind speed increases, the torsional vibration response also increases, indicating that stronger winds contribute to more significant torsional effects. Notably, the distribution is more scattered for Storm 3, suggesting greater variability in torsional response for a given wind speed compared to other storms, while Storm 1 appears more linearly correlated, with a clear upward trend. In contrast, as </w:t>
      </w:r>
      <w:r w:rsidR="002A45CB">
        <w:fldChar w:fldCharType="begin"/>
      </w:r>
      <w:r w:rsidR="002A45CB">
        <w:instrText xml:space="preserve"> REF _Ref198410177 \h  \* MERGEFORMAT </w:instrText>
      </w:r>
      <w:r w:rsidR="002A45CB">
        <w:fldChar w:fldCharType="separate"/>
      </w:r>
      <w:r w:rsidR="002A45CB" w:rsidRPr="000D6914">
        <w:t>Fig. 5</w:t>
      </w:r>
      <w:r w:rsidR="002A45CB">
        <w:fldChar w:fldCharType="end"/>
      </w:r>
      <w:r w:rsidR="002A45CB">
        <w:t xml:space="preserve">(b) appears, there is no clear linear relationship between wind direction and torsional RMS. The torsional response seems more </w:t>
      </w:r>
      <w:r w:rsidR="002A45CB" w:rsidRPr="002A45CB">
        <w:rPr>
          <w:rStyle w:val="Strong"/>
          <w:b w:val="0"/>
          <w:bCs w:val="0"/>
        </w:rPr>
        <w:t>dispersed</w:t>
      </w:r>
      <w:r w:rsidR="002A45CB">
        <w:t xml:space="preserve"> across different wind directions, indicating that directionality alone is not a strong predictor of torsional vibration.</w:t>
      </w:r>
    </w:p>
    <w:p w14:paraId="7C237160" w14:textId="525478A5" w:rsidR="0084425E" w:rsidRPr="0084425E" w:rsidRDefault="002A45CB" w:rsidP="002A45CB">
      <w:r>
        <w:t xml:space="preserve">Given the </w:t>
      </w:r>
      <w:r w:rsidRPr="002B60EA">
        <w:t>bridge-axis angle</w:t>
      </w:r>
      <w:r>
        <w:t xml:space="preserve"> identical to </w:t>
      </w:r>
      <w:r w:rsidRPr="002B60EA">
        <w:t>−25</w:t>
      </w:r>
      <w:r w:rsidRPr="002B60EA">
        <w:rPr>
          <w:rFonts w:ascii="Cambria Math" w:hAnsi="Cambria Math" w:cs="Cambria Math"/>
          <w:vertAlign w:val="superscript"/>
        </w:rPr>
        <w:t xml:space="preserve">∘ </w:t>
      </w:r>
      <w:r w:rsidRPr="002B60EA">
        <w:t>relative to north</w:t>
      </w:r>
      <w:r>
        <w:t xml:space="preserve">, </w:t>
      </w:r>
      <w:r>
        <w:fldChar w:fldCharType="begin"/>
      </w:r>
      <w:r>
        <w:instrText xml:space="preserve"> REF _Ref198410297 \h  \* MERGEFORMAT </w:instrText>
      </w:r>
      <w:r>
        <w:fldChar w:fldCharType="separate"/>
      </w:r>
      <w:r w:rsidRPr="002A45CB">
        <w:t>Fig. 6</w:t>
      </w:r>
      <w:r>
        <w:fldChar w:fldCharType="end"/>
      </w:r>
      <w:r>
        <w:t xml:space="preserve"> illustrates </w:t>
      </w:r>
      <w:r w:rsidRPr="002B60EA">
        <w:t>a rose diagram of mean wind speed against mean wind direction</w:t>
      </w:r>
      <w:r>
        <w:t xml:space="preserve">. This plot provides a comprehensive visualization of the wind patterns impacting the bridge during the four storm </w:t>
      </w:r>
      <w:r>
        <w:lastRenderedPageBreak/>
        <w:t>events. This graphical representation enables us to easily identify prevailing wind directions, intensity distributions, and the frequency of high-speed gusts associated with varying storm scenarios.</w:t>
      </w:r>
    </w:p>
    <w:p w14:paraId="53E32F34" w14:textId="577B17C2" w:rsidR="00474D48" w:rsidRDefault="00474D48" w:rsidP="00474D48">
      <w:pPr>
        <w:pStyle w:val="p1a"/>
        <w:keepNext/>
        <w:spacing w:before="360"/>
      </w:pPr>
      <w:r>
        <w:rPr>
          <w:noProof/>
        </w:rPr>
        <w:drawing>
          <wp:inline distT="0" distB="0" distL="0" distR="0" wp14:anchorId="284B5B8C" wp14:editId="77C12453">
            <wp:extent cx="4392930" cy="3403600"/>
            <wp:effectExtent l="0" t="0" r="762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2930" cy="3403600"/>
                    </a:xfrm>
                    <a:prstGeom prst="rect">
                      <a:avLst/>
                    </a:prstGeom>
                  </pic:spPr>
                </pic:pic>
              </a:graphicData>
            </a:graphic>
          </wp:inline>
        </w:drawing>
      </w:r>
    </w:p>
    <w:p w14:paraId="5AE999E7" w14:textId="4C88DFC0" w:rsidR="00C05D54" w:rsidRDefault="00474D48" w:rsidP="00C16A63">
      <w:pPr>
        <w:pStyle w:val="Caption"/>
      </w:pPr>
      <w:bookmarkStart w:id="4" w:name="_Ref198409843"/>
      <w:r w:rsidRPr="00A52EF6">
        <w:rPr>
          <w:b/>
          <w:bCs/>
        </w:rPr>
        <w:t xml:space="preserve">Fig. </w:t>
      </w:r>
      <w:r w:rsidRPr="00A52EF6">
        <w:rPr>
          <w:b/>
          <w:bCs/>
        </w:rPr>
        <w:fldChar w:fldCharType="begin"/>
      </w:r>
      <w:r w:rsidRPr="00A52EF6">
        <w:rPr>
          <w:b/>
          <w:bCs/>
        </w:rPr>
        <w:instrText xml:space="preserve"> SEQ Fig. \* ARABIC </w:instrText>
      </w:r>
      <w:r w:rsidRPr="00A52EF6">
        <w:rPr>
          <w:b/>
          <w:bCs/>
        </w:rPr>
        <w:fldChar w:fldCharType="separate"/>
      </w:r>
      <w:r w:rsidR="000D6914">
        <w:rPr>
          <w:b/>
          <w:bCs/>
          <w:noProof/>
        </w:rPr>
        <w:t>4</w:t>
      </w:r>
      <w:r w:rsidRPr="00A52EF6">
        <w:rPr>
          <w:b/>
          <w:bCs/>
        </w:rPr>
        <w:fldChar w:fldCharType="end"/>
      </w:r>
      <w:bookmarkEnd w:id="4"/>
      <w:r>
        <w:t>. Mean wind and vibration data of four storms: (a) the RMS values of the torsional response, (b) the mean wind speed (m/s), and (c) the mean wind direction (</w:t>
      </w:r>
      <w:r w:rsidRPr="001E0B5A">
        <w:t>°</w:t>
      </w:r>
      <w:r>
        <w:t>)</w:t>
      </w:r>
    </w:p>
    <w:p w14:paraId="3A60E29B" w14:textId="55C6A1E2" w:rsidR="0082615C" w:rsidRDefault="009920F8" w:rsidP="0082615C">
      <w:pPr>
        <w:keepNext/>
        <w:ind w:firstLine="0"/>
      </w:pPr>
      <w:r>
        <w:rPr>
          <w:noProof/>
        </w:rPr>
        <w:drawing>
          <wp:inline distT="0" distB="0" distL="0" distR="0" wp14:anchorId="403D4A72" wp14:editId="4F8AF15A">
            <wp:extent cx="4392930" cy="1631315"/>
            <wp:effectExtent l="0" t="0" r="762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2930" cy="1631315"/>
                    </a:xfrm>
                    <a:prstGeom prst="rect">
                      <a:avLst/>
                    </a:prstGeom>
                  </pic:spPr>
                </pic:pic>
              </a:graphicData>
            </a:graphic>
          </wp:inline>
        </w:drawing>
      </w:r>
    </w:p>
    <w:p w14:paraId="3A5EC11B" w14:textId="2CD5CD55" w:rsidR="009920F8" w:rsidRDefault="0082615C" w:rsidP="00C16A63">
      <w:pPr>
        <w:pStyle w:val="Caption"/>
      </w:pPr>
      <w:bookmarkStart w:id="5" w:name="_Ref198410177"/>
      <w:r w:rsidRPr="009920F8">
        <w:rPr>
          <w:b/>
          <w:bCs/>
        </w:rPr>
        <w:t xml:space="preserve">Fig. </w:t>
      </w:r>
      <w:r w:rsidRPr="009920F8">
        <w:rPr>
          <w:b/>
          <w:bCs/>
        </w:rPr>
        <w:fldChar w:fldCharType="begin"/>
      </w:r>
      <w:r w:rsidRPr="009920F8">
        <w:rPr>
          <w:b/>
          <w:bCs/>
        </w:rPr>
        <w:instrText xml:space="preserve"> SEQ Fig. \* ARABIC </w:instrText>
      </w:r>
      <w:r w:rsidRPr="009920F8">
        <w:rPr>
          <w:b/>
          <w:bCs/>
        </w:rPr>
        <w:fldChar w:fldCharType="separate"/>
      </w:r>
      <w:r w:rsidR="000D6914">
        <w:rPr>
          <w:b/>
          <w:bCs/>
          <w:noProof/>
        </w:rPr>
        <w:t>5</w:t>
      </w:r>
      <w:r w:rsidRPr="009920F8">
        <w:rPr>
          <w:b/>
          <w:bCs/>
        </w:rPr>
        <w:fldChar w:fldCharType="end"/>
      </w:r>
      <w:bookmarkEnd w:id="5"/>
      <w:r>
        <w:t xml:space="preserve">. </w:t>
      </w:r>
      <w:r w:rsidR="009920F8">
        <w:t>Variability of the torsional vibration response versus the mean wind speed (a) and the mean wind direction (b)</w:t>
      </w:r>
    </w:p>
    <w:p w14:paraId="067B591E" w14:textId="77777777" w:rsidR="000D6914" w:rsidRDefault="000D6914" w:rsidP="00D734FE">
      <w:pPr>
        <w:keepNext/>
        <w:ind w:firstLine="0"/>
        <w:jc w:val="center"/>
      </w:pPr>
      <w:r>
        <w:rPr>
          <w:noProof/>
        </w:rPr>
        <w:lastRenderedPageBreak/>
        <w:drawing>
          <wp:inline distT="0" distB="0" distL="0" distR="0" wp14:anchorId="0B3D6C18" wp14:editId="4E6897DB">
            <wp:extent cx="3600000" cy="2407306"/>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a:fillRect/>
                    </a:stretch>
                  </pic:blipFill>
                  <pic:spPr>
                    <a:xfrm>
                      <a:off x="0" y="0"/>
                      <a:ext cx="3600000" cy="2407306"/>
                    </a:xfrm>
                    <a:prstGeom prst="rect">
                      <a:avLst/>
                    </a:prstGeom>
                  </pic:spPr>
                </pic:pic>
              </a:graphicData>
            </a:graphic>
          </wp:inline>
        </w:drawing>
      </w:r>
    </w:p>
    <w:p w14:paraId="4516801B" w14:textId="08E62B6A" w:rsidR="000D6914" w:rsidRDefault="000D6914" w:rsidP="000D6914">
      <w:pPr>
        <w:pStyle w:val="Caption"/>
      </w:pPr>
      <w:bookmarkStart w:id="6" w:name="_Ref198410297"/>
      <w:r w:rsidRPr="000D6914">
        <w:rPr>
          <w:b/>
          <w:bCs/>
        </w:rPr>
        <w:t xml:space="preserve">Fig. </w:t>
      </w:r>
      <w:r w:rsidRPr="000D6914">
        <w:rPr>
          <w:b/>
          <w:bCs/>
        </w:rPr>
        <w:fldChar w:fldCharType="begin"/>
      </w:r>
      <w:r w:rsidRPr="000D6914">
        <w:rPr>
          <w:b/>
          <w:bCs/>
        </w:rPr>
        <w:instrText xml:space="preserve"> SEQ Fig. \* ARABIC </w:instrText>
      </w:r>
      <w:r w:rsidRPr="000D6914">
        <w:rPr>
          <w:b/>
          <w:bCs/>
        </w:rPr>
        <w:fldChar w:fldCharType="separate"/>
      </w:r>
      <w:r w:rsidRPr="000D6914">
        <w:rPr>
          <w:b/>
          <w:bCs/>
          <w:noProof/>
        </w:rPr>
        <w:t>6</w:t>
      </w:r>
      <w:r w:rsidRPr="000D6914">
        <w:rPr>
          <w:b/>
          <w:bCs/>
        </w:rPr>
        <w:fldChar w:fldCharType="end"/>
      </w:r>
      <w:bookmarkEnd w:id="6"/>
      <w:r>
        <w:t xml:space="preserve">. </w:t>
      </w:r>
      <w:r w:rsidRPr="001E0B5A">
        <w:t xml:space="preserve">Rose plot of the mean wind speed versus mean wind direction of the four </w:t>
      </w:r>
      <w:r>
        <w:t>storms</w:t>
      </w:r>
    </w:p>
    <w:p w14:paraId="0B33D770" w14:textId="0EC8A98F" w:rsidR="00A826EB" w:rsidRDefault="00A826EB" w:rsidP="00A826EB">
      <w:pPr>
        <w:pStyle w:val="heading2"/>
      </w:pPr>
      <w:r>
        <w:t xml:space="preserve">Prediction of </w:t>
      </w:r>
      <w:r w:rsidR="002A45CB">
        <w:t>Torsional Response</w:t>
      </w:r>
    </w:p>
    <w:p w14:paraId="2D5B1E5D" w14:textId="0C1D3826" w:rsidR="002F71BB" w:rsidRDefault="002A45CB" w:rsidP="002F71BB">
      <w:pPr>
        <w:ind w:firstLine="0"/>
      </w:pPr>
      <w:r>
        <w:t xml:space="preserve">Before developing the BNN model for predicting the torsional response of the Hardanger Bridge, an initial evaluation of wind-related predictors is essential. Multicollinearity can significantly impair the ability of regression-based models, i.e., including BNNs, to accurately isolate the individual impact of each predictor. In such cases, minor fluctuations in one predictor can disproportionately influence the model response, resulting in unstable and unreliable parameter estimates. To diagnose and mitigate this issue, the </w:t>
      </w:r>
      <w:r w:rsidRPr="002F71BB">
        <w:rPr>
          <w:rStyle w:val="Strong"/>
          <w:b w:val="0"/>
          <w:bCs w:val="0"/>
        </w:rPr>
        <w:t>VIF</w:t>
      </w:r>
      <w:r w:rsidR="002F71BB" w:rsidRPr="002F71BB">
        <w:rPr>
          <w:rStyle w:val="Strong"/>
          <w:b w:val="0"/>
          <w:bCs w:val="0"/>
        </w:rPr>
        <w:t xml:space="preserve"> value of each predictor</w:t>
      </w:r>
      <w:r w:rsidRPr="002F71BB">
        <w:rPr>
          <w:b/>
          <w:bCs/>
        </w:rPr>
        <w:t xml:space="preserve"> </w:t>
      </w:r>
      <w:r>
        <w:t>is calculated</w:t>
      </w:r>
      <w:r w:rsidR="002F71BB">
        <w:t xml:space="preserve">. Therefore, wind features (i.e., </w:t>
      </w:r>
      <w:r w:rsidR="002F71BB" w:rsidRPr="002F71BB">
        <w:rPr>
          <w:i/>
          <w:iCs/>
        </w:rPr>
        <w:t>p</w:t>
      </w:r>
      <w:r w:rsidR="002F71BB">
        <w:t xml:space="preserve">=13) exceeding the VIF threshold equal to 10 are excluded the original predictor dataset </w:t>
      </w:r>
      <w:r w:rsidR="002F71BB" w:rsidRPr="002F71BB">
        <w:rPr>
          <w:b/>
          <w:bCs/>
        </w:rPr>
        <w:t>X</w:t>
      </w:r>
      <w:r w:rsidR="002F71BB">
        <w:t>.</w:t>
      </w:r>
    </w:p>
    <w:p w14:paraId="7B3A9731" w14:textId="370FA873" w:rsidR="00242D84" w:rsidRDefault="002F71BB" w:rsidP="00242D84">
      <w:pPr>
        <w:ind w:firstLine="0"/>
      </w:pPr>
      <w:r>
        <w:tab/>
        <w:t xml:space="preserve">After selecting the optimal predictors </w:t>
      </w:r>
      <m:oMath>
        <m:acc>
          <m:accPr>
            <m:chr m:val="̃"/>
            <m:ctrlPr>
              <w:rPr>
                <w:rStyle w:val="katex-mathml"/>
                <w:rFonts w:ascii="Cambria Math" w:hAnsi="Cambria Math"/>
                <w:b/>
                <w:bCs/>
                <w:iCs/>
              </w:rPr>
            </m:ctrlPr>
          </m:accPr>
          <m:e>
            <m:r>
              <m:rPr>
                <m:sty m:val="b"/>
              </m:rPr>
              <w:rPr>
                <w:rStyle w:val="katex-mathml"/>
                <w:rFonts w:ascii="Cambria Math" w:hAnsi="Cambria Math"/>
              </w:rPr>
              <m:t>X</m:t>
            </m:r>
          </m:e>
        </m:acc>
      </m:oMath>
      <w:r w:rsidRPr="002F71BB">
        <w:rPr>
          <w:rStyle w:val="katex-mathml"/>
          <w:iCs/>
        </w:rPr>
        <w:t>, both the wind feature and RMS values of the torsional response are normalized to</w:t>
      </w:r>
      <w:r>
        <w:rPr>
          <w:rStyle w:val="katex-mathml"/>
          <w:b/>
          <w:bCs/>
          <w:iCs/>
        </w:rPr>
        <w:t xml:space="preserve"> </w:t>
      </w:r>
      <w:r w:rsidR="00A826EB" w:rsidRPr="007B5A32">
        <w:t>zero mean and unit variance</w:t>
      </w:r>
      <w:r>
        <w:t>. On this basis, the p</w:t>
      </w:r>
      <w:r w:rsidR="00A826EB" w:rsidRPr="007B5A32">
        <w:t xml:space="preserve">rediction of </w:t>
      </w:r>
      <w:r>
        <w:t>the torsional response</w:t>
      </w:r>
      <w:r w:rsidR="00A826EB" w:rsidRPr="007B5A32">
        <w:t xml:space="preserve"> of the Hardanger Bridge </w:t>
      </w:r>
      <w:r>
        <w:t>via the BNN</w:t>
      </w:r>
      <w:r w:rsidR="00A826EB" w:rsidRPr="007B5A32">
        <w:t xml:space="preserve"> begins with the creation of training and test datasets from the available 180</w:t>
      </w:r>
      <w:r w:rsidR="00A826EB">
        <w:t xml:space="preserve"> </w:t>
      </w:r>
      <w:r w:rsidR="00A826EB" w:rsidRPr="007B5A32">
        <w:t xml:space="preserve">RMS measurements. </w:t>
      </w:r>
      <w:r>
        <w:t>The training data contains the wind features and RMS values of the torsional response of the first three storms leading to 126 samples (</w:t>
      </w:r>
      <w:r w:rsidRPr="002F71BB">
        <w:rPr>
          <w:i/>
          <w:iCs/>
        </w:rPr>
        <w:t>n</w:t>
      </w:r>
      <w:r w:rsidRPr="002F71BB">
        <w:t>=126</w:t>
      </w:r>
      <w:r>
        <w:t xml:space="preserve">). Hence, the remaining 54 samples of the selected wind predictors are used as the test data to evaluate the performance of the proposed method for predicting the unseen 54 RMS values of the torsional response. </w:t>
      </w:r>
    </w:p>
    <w:p w14:paraId="610932FD" w14:textId="02862649" w:rsidR="00242D84" w:rsidRDefault="002F71BB" w:rsidP="00242D84">
      <w:r>
        <w:t xml:space="preserve">The 10-fold cross validation algorithm is applied to optimize the hyperparameters of the BNN including the </w:t>
      </w:r>
      <w:r w:rsidRPr="007B5A32">
        <w:t xml:space="preserve">architecture layers, dropout rate, learning rate, </w:t>
      </w:r>
      <w:r w:rsidRPr="002F71BB">
        <w:rPr>
          <w:i/>
          <w:iCs/>
        </w:rPr>
        <w:t>L</w:t>
      </w:r>
      <w:r w:rsidRPr="002F71BB">
        <w:rPr>
          <w:vertAlign w:val="subscript"/>
        </w:rPr>
        <w:t>2</w:t>
      </w:r>
      <w:r w:rsidRPr="007B5A32">
        <w:t xml:space="preserve"> </w:t>
      </w:r>
      <w:r>
        <w:t xml:space="preserve">regularization </w:t>
      </w:r>
      <w:r w:rsidRPr="007B5A32">
        <w:t>factor</w:t>
      </w:r>
      <w:r>
        <w:t>.</w:t>
      </w:r>
      <w:r w:rsidR="00F047C8">
        <w:t xml:space="preserve"> The search domain</w:t>
      </w:r>
      <w:r w:rsidR="00D31277">
        <w:t>s</w:t>
      </w:r>
      <w:r w:rsidR="00F047C8">
        <w:t xml:space="preserve"> include the hidden layers varying 1-3, </w:t>
      </w:r>
      <w:r w:rsidR="00D31277" w:rsidRPr="007B5A32">
        <w:t>dropout rate</w:t>
      </w:r>
      <w:r w:rsidR="00D31277">
        <w:t xml:space="preserve"> 0.3-0.5, the learning rate 10</w:t>
      </w:r>
      <w:r w:rsidR="00D31277" w:rsidRPr="00D31277">
        <w:rPr>
          <w:vertAlign w:val="superscript"/>
        </w:rPr>
        <w:t>–4</w:t>
      </w:r>
      <w:r w:rsidR="00D31277">
        <w:t>-10</w:t>
      </w:r>
      <w:r w:rsidR="00D31277" w:rsidRPr="00D31277">
        <w:rPr>
          <w:vertAlign w:val="superscript"/>
        </w:rPr>
        <w:t>–</w:t>
      </w:r>
      <w:r w:rsidR="00D31277">
        <w:rPr>
          <w:vertAlign w:val="superscript"/>
        </w:rPr>
        <w:t>2</w:t>
      </w:r>
      <w:r w:rsidR="00D31277">
        <w:t xml:space="preserve">, and </w:t>
      </w:r>
      <w:r w:rsidR="00D31277" w:rsidRPr="002F71BB">
        <w:rPr>
          <w:i/>
          <w:iCs/>
        </w:rPr>
        <w:t>L</w:t>
      </w:r>
      <w:r w:rsidR="00D31277" w:rsidRPr="002F71BB">
        <w:rPr>
          <w:vertAlign w:val="subscript"/>
        </w:rPr>
        <w:t>2</w:t>
      </w:r>
      <w:r w:rsidR="00D31277" w:rsidRPr="007B5A32">
        <w:t xml:space="preserve"> </w:t>
      </w:r>
      <w:r w:rsidR="00D31277">
        <w:t>regularization 10</w:t>
      </w:r>
      <w:r w:rsidR="00D31277" w:rsidRPr="00D31277">
        <w:rPr>
          <w:vertAlign w:val="superscript"/>
        </w:rPr>
        <w:t>–</w:t>
      </w:r>
      <w:r w:rsidR="00D31277">
        <w:rPr>
          <w:vertAlign w:val="superscript"/>
        </w:rPr>
        <w:t>3</w:t>
      </w:r>
      <w:r w:rsidR="00D31277">
        <w:t>-10</w:t>
      </w:r>
      <w:r w:rsidR="00D31277" w:rsidRPr="00D31277">
        <w:rPr>
          <w:vertAlign w:val="superscript"/>
        </w:rPr>
        <w:t>–</w:t>
      </w:r>
      <w:r w:rsidR="00D31277">
        <w:rPr>
          <w:vertAlign w:val="superscript"/>
        </w:rPr>
        <w:t>1</w:t>
      </w:r>
      <w:r w:rsidR="00D31277">
        <w:t xml:space="preserve">. </w:t>
      </w:r>
      <w:r w:rsidR="00242D84" w:rsidRPr="007B5A32">
        <w:t>The best set of hyperparameters maximizes the mean</w:t>
      </w:r>
      <w:r w:rsidR="00242D84">
        <w:t xml:space="preserve"> R² </w:t>
      </w:r>
      <w:r w:rsidR="00242D84" w:rsidRPr="007B5A32">
        <w:t xml:space="preserve">over multiple folds. </w:t>
      </w:r>
      <w:r w:rsidR="00242D84">
        <w:t xml:space="preserve">Using the trained BNN model, </w:t>
      </w:r>
      <w:r w:rsidR="00242D84">
        <w:fldChar w:fldCharType="begin"/>
      </w:r>
      <w:r w:rsidR="00242D84">
        <w:instrText xml:space="preserve"> REF _Ref198411655 \h  \* MERGEFORMAT </w:instrText>
      </w:r>
      <w:r w:rsidR="00242D84">
        <w:fldChar w:fldCharType="separate"/>
      </w:r>
      <w:r w:rsidR="00242D84" w:rsidRPr="00242D84">
        <w:t>Fig. 7</w:t>
      </w:r>
      <w:r w:rsidR="00242D84">
        <w:fldChar w:fldCharType="end"/>
      </w:r>
      <w:r w:rsidR="00242D84">
        <w:t xml:space="preserve"> shows the results of the prediction of the torsional response of the Hardanger bridge. In this figure, the original torsional response samples are compared with their </w:t>
      </w:r>
      <w:r w:rsidR="00242D84">
        <w:lastRenderedPageBreak/>
        <w:t>corresponding predicted ones during the training and testing phases. As can be observed, the predicted RMS values in the training phase are in good agreement with the original training point. For the testing phase, one can discern the same reliable behavior, while the prediction performance during the training phase is better than the testing stage.</w:t>
      </w:r>
    </w:p>
    <w:p w14:paraId="5C2FB2D3" w14:textId="77777777" w:rsidR="00242D84" w:rsidRDefault="00242D84" w:rsidP="00242D84">
      <w:pPr>
        <w:keepNext/>
        <w:ind w:firstLine="0"/>
      </w:pPr>
      <w:r>
        <w:rPr>
          <w:noProof/>
        </w:rPr>
        <w:drawing>
          <wp:inline distT="0" distB="0" distL="0" distR="0" wp14:anchorId="7BA619EA" wp14:editId="2E3D1D4C">
            <wp:extent cx="4392930" cy="116713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2930" cy="1167130"/>
                    </a:xfrm>
                    <a:prstGeom prst="rect">
                      <a:avLst/>
                    </a:prstGeom>
                  </pic:spPr>
                </pic:pic>
              </a:graphicData>
            </a:graphic>
          </wp:inline>
        </w:drawing>
      </w:r>
    </w:p>
    <w:p w14:paraId="2CEC2DCF" w14:textId="77777777" w:rsidR="00242D84" w:rsidRDefault="00242D84" w:rsidP="00242D84">
      <w:pPr>
        <w:pStyle w:val="Caption"/>
      </w:pPr>
      <w:bookmarkStart w:id="7" w:name="_Ref198411655"/>
      <w:r w:rsidRPr="00A826EB">
        <w:rPr>
          <w:b/>
          <w:bCs/>
        </w:rPr>
        <w:t xml:space="preserve">Fig. </w:t>
      </w:r>
      <w:r w:rsidRPr="00A826EB">
        <w:rPr>
          <w:b/>
          <w:bCs/>
        </w:rPr>
        <w:fldChar w:fldCharType="begin"/>
      </w:r>
      <w:r w:rsidRPr="00A826EB">
        <w:rPr>
          <w:b/>
          <w:bCs/>
        </w:rPr>
        <w:instrText xml:space="preserve"> SEQ Fig. \* ARABIC </w:instrText>
      </w:r>
      <w:r w:rsidRPr="00A826EB">
        <w:rPr>
          <w:b/>
          <w:bCs/>
        </w:rPr>
        <w:fldChar w:fldCharType="separate"/>
      </w:r>
      <w:r>
        <w:rPr>
          <w:b/>
          <w:bCs/>
          <w:noProof/>
        </w:rPr>
        <w:t>7</w:t>
      </w:r>
      <w:r w:rsidRPr="00A826EB">
        <w:rPr>
          <w:b/>
          <w:bCs/>
        </w:rPr>
        <w:fldChar w:fldCharType="end"/>
      </w:r>
      <w:bookmarkEnd w:id="7"/>
      <w:r>
        <w:t xml:space="preserve">. </w:t>
      </w:r>
      <w:r w:rsidRPr="00144373">
        <w:t xml:space="preserve">Prediction of the </w:t>
      </w:r>
      <w:r>
        <w:t>torsional vibration response</w:t>
      </w:r>
      <w:r w:rsidRPr="00144373">
        <w:t xml:space="preserve"> </w:t>
      </w:r>
      <w:r>
        <w:t>by the proposed method and BNN-aided regression modeling</w:t>
      </w:r>
    </w:p>
    <w:p w14:paraId="2F288CA0" w14:textId="6B7A7BF3" w:rsidR="008E18F6" w:rsidRPr="00E257C2" w:rsidRDefault="008E18F6" w:rsidP="00C16A63">
      <w:pPr>
        <w:pStyle w:val="Caption"/>
        <w:rPr>
          <w:i/>
        </w:rPr>
      </w:pPr>
      <w:bookmarkStart w:id="8" w:name="_Ref198411846"/>
      <w:r w:rsidRPr="00E257C2">
        <w:rPr>
          <w:b/>
          <w:bCs/>
        </w:rPr>
        <w:t xml:space="preserve">Table </w:t>
      </w:r>
      <w:r w:rsidRPr="00E257C2">
        <w:rPr>
          <w:b/>
          <w:bCs/>
        </w:rPr>
        <w:fldChar w:fldCharType="begin"/>
      </w:r>
      <w:r w:rsidRPr="00E257C2">
        <w:rPr>
          <w:b/>
          <w:bCs/>
        </w:rPr>
        <w:instrText xml:space="preserve"> SEQ Table \* ARABIC </w:instrText>
      </w:r>
      <w:r w:rsidRPr="00E257C2">
        <w:rPr>
          <w:b/>
          <w:bCs/>
        </w:rPr>
        <w:fldChar w:fldCharType="separate"/>
      </w:r>
      <w:r w:rsidR="000D6914">
        <w:rPr>
          <w:b/>
          <w:bCs/>
          <w:noProof/>
        </w:rPr>
        <w:t>1</w:t>
      </w:r>
      <w:r w:rsidRPr="00E257C2">
        <w:rPr>
          <w:b/>
          <w:bCs/>
        </w:rPr>
        <w:fldChar w:fldCharType="end"/>
      </w:r>
      <w:bookmarkEnd w:id="8"/>
      <w:r w:rsidRPr="00E257C2">
        <w:t xml:space="preserve">. Performance evaluation of the proposed </w:t>
      </w:r>
      <w:r w:rsidR="00E257C2" w:rsidRPr="00E257C2">
        <w:t>method</w:t>
      </w:r>
      <w:r w:rsidRPr="00E257C2">
        <w:t xml:space="preserve"> via the </w:t>
      </w:r>
      <w:r w:rsidR="00E257C2" w:rsidRPr="00E257C2">
        <w:t>regression metrics</w:t>
      </w:r>
    </w:p>
    <w:tbl>
      <w:tblPr>
        <w:tblW w:w="5000" w:type="pct"/>
        <w:jc w:val="center"/>
        <w:tblCellMar>
          <w:left w:w="70" w:type="dxa"/>
          <w:right w:w="70" w:type="dxa"/>
        </w:tblCellMar>
        <w:tblLook w:val="0000" w:firstRow="0" w:lastRow="0" w:firstColumn="0" w:lastColumn="0" w:noHBand="0" w:noVBand="0"/>
      </w:tblPr>
      <w:tblGrid>
        <w:gridCol w:w="2308"/>
        <w:gridCol w:w="2306"/>
        <w:gridCol w:w="2304"/>
      </w:tblGrid>
      <w:tr w:rsidR="008E18F6" w:rsidRPr="00684BB5" w14:paraId="112C918C" w14:textId="77777777" w:rsidTr="00684BB5">
        <w:trPr>
          <w:jc w:val="center"/>
        </w:trPr>
        <w:tc>
          <w:tcPr>
            <w:tcW w:w="1668" w:type="pct"/>
            <w:tcBorders>
              <w:top w:val="single" w:sz="12" w:space="0" w:color="000000"/>
              <w:bottom w:val="single" w:sz="6" w:space="0" w:color="000000"/>
            </w:tcBorders>
            <w:vAlign w:val="center"/>
          </w:tcPr>
          <w:p w14:paraId="41A79D88" w14:textId="7F0DBD34" w:rsidR="008E18F6" w:rsidRPr="00684BB5" w:rsidRDefault="00684BB5" w:rsidP="00684BB5">
            <w:pPr>
              <w:ind w:firstLine="0"/>
              <w:jc w:val="left"/>
              <w:rPr>
                <w:sz w:val="18"/>
                <w:szCs w:val="18"/>
              </w:rPr>
            </w:pPr>
            <w:r w:rsidRPr="00684BB5">
              <w:rPr>
                <w:sz w:val="18"/>
                <w:szCs w:val="18"/>
              </w:rPr>
              <w:t>Metrics</w:t>
            </w:r>
          </w:p>
        </w:tc>
        <w:tc>
          <w:tcPr>
            <w:tcW w:w="1667" w:type="pct"/>
            <w:tcBorders>
              <w:top w:val="single" w:sz="12" w:space="0" w:color="000000"/>
              <w:bottom w:val="single" w:sz="6" w:space="0" w:color="000000"/>
            </w:tcBorders>
            <w:vAlign w:val="center"/>
          </w:tcPr>
          <w:p w14:paraId="56534837" w14:textId="19F6FA97" w:rsidR="008E18F6" w:rsidRPr="00684BB5" w:rsidRDefault="008E18F6" w:rsidP="00684BB5">
            <w:pPr>
              <w:ind w:firstLine="0"/>
              <w:jc w:val="left"/>
              <w:rPr>
                <w:sz w:val="18"/>
                <w:szCs w:val="18"/>
              </w:rPr>
            </w:pPr>
            <w:r w:rsidRPr="00684BB5">
              <w:rPr>
                <w:sz w:val="18"/>
                <w:szCs w:val="18"/>
              </w:rPr>
              <w:t>Training</w:t>
            </w:r>
            <w:r w:rsidR="00684BB5" w:rsidRPr="00684BB5">
              <w:rPr>
                <w:sz w:val="18"/>
                <w:szCs w:val="18"/>
              </w:rPr>
              <w:t xml:space="preserve"> Phase</w:t>
            </w:r>
          </w:p>
        </w:tc>
        <w:tc>
          <w:tcPr>
            <w:tcW w:w="1666" w:type="pct"/>
            <w:tcBorders>
              <w:top w:val="single" w:sz="12" w:space="0" w:color="000000"/>
              <w:bottom w:val="single" w:sz="6" w:space="0" w:color="000000"/>
            </w:tcBorders>
            <w:vAlign w:val="center"/>
          </w:tcPr>
          <w:p w14:paraId="54064FB4" w14:textId="2C1AD7D0" w:rsidR="008E18F6" w:rsidRPr="00684BB5" w:rsidRDefault="008E18F6" w:rsidP="00684BB5">
            <w:pPr>
              <w:ind w:firstLine="0"/>
              <w:jc w:val="left"/>
              <w:rPr>
                <w:sz w:val="18"/>
                <w:szCs w:val="18"/>
              </w:rPr>
            </w:pPr>
            <w:r w:rsidRPr="00684BB5">
              <w:rPr>
                <w:sz w:val="18"/>
                <w:szCs w:val="18"/>
              </w:rPr>
              <w:t>Testing</w:t>
            </w:r>
            <w:r w:rsidR="00684BB5" w:rsidRPr="00684BB5">
              <w:rPr>
                <w:sz w:val="18"/>
                <w:szCs w:val="18"/>
              </w:rPr>
              <w:t xml:space="preserve"> Phase</w:t>
            </w:r>
          </w:p>
        </w:tc>
      </w:tr>
      <w:tr w:rsidR="008E18F6" w:rsidRPr="00684BB5" w14:paraId="656EAA95" w14:textId="77777777" w:rsidTr="00684BB5">
        <w:trPr>
          <w:trHeight w:val="284"/>
          <w:jc w:val="center"/>
        </w:trPr>
        <w:tc>
          <w:tcPr>
            <w:tcW w:w="1668" w:type="pct"/>
            <w:vAlign w:val="center"/>
          </w:tcPr>
          <w:p w14:paraId="75D86393" w14:textId="29866795" w:rsidR="008E18F6" w:rsidRPr="00684BB5" w:rsidRDefault="00684BB5" w:rsidP="00684BB5">
            <w:pPr>
              <w:ind w:firstLine="0"/>
              <w:jc w:val="left"/>
              <w:rPr>
                <w:sz w:val="18"/>
                <w:szCs w:val="18"/>
              </w:rPr>
            </w:pPr>
            <w:r w:rsidRPr="00684BB5">
              <w:rPr>
                <w:sz w:val="18"/>
                <w:szCs w:val="18"/>
              </w:rPr>
              <w:t>R²</w:t>
            </w:r>
          </w:p>
        </w:tc>
        <w:tc>
          <w:tcPr>
            <w:tcW w:w="1667" w:type="pct"/>
            <w:vAlign w:val="center"/>
          </w:tcPr>
          <w:p w14:paraId="0970F5B1" w14:textId="3200984B" w:rsidR="008E18F6" w:rsidRPr="00684BB5" w:rsidRDefault="00684BB5" w:rsidP="00684BB5">
            <w:pPr>
              <w:ind w:firstLine="0"/>
              <w:jc w:val="left"/>
              <w:rPr>
                <w:sz w:val="18"/>
                <w:szCs w:val="18"/>
              </w:rPr>
            </w:pPr>
            <w:r>
              <w:rPr>
                <w:sz w:val="18"/>
                <w:szCs w:val="18"/>
              </w:rPr>
              <w:t>0.97</w:t>
            </w:r>
          </w:p>
        </w:tc>
        <w:tc>
          <w:tcPr>
            <w:tcW w:w="1666" w:type="pct"/>
            <w:vAlign w:val="center"/>
          </w:tcPr>
          <w:p w14:paraId="4D8E415F" w14:textId="2006C662" w:rsidR="008E18F6" w:rsidRPr="00684BB5" w:rsidRDefault="00684BB5" w:rsidP="00684BB5">
            <w:pPr>
              <w:ind w:firstLine="0"/>
              <w:jc w:val="left"/>
              <w:rPr>
                <w:sz w:val="18"/>
                <w:szCs w:val="18"/>
              </w:rPr>
            </w:pPr>
            <w:r>
              <w:rPr>
                <w:sz w:val="18"/>
                <w:szCs w:val="18"/>
              </w:rPr>
              <w:t>0.77</w:t>
            </w:r>
          </w:p>
        </w:tc>
      </w:tr>
      <w:tr w:rsidR="008E18F6" w:rsidRPr="00684BB5" w14:paraId="7A9B8300" w14:textId="77777777" w:rsidTr="00684BB5">
        <w:trPr>
          <w:trHeight w:val="284"/>
          <w:jc w:val="center"/>
        </w:trPr>
        <w:tc>
          <w:tcPr>
            <w:tcW w:w="1668" w:type="pct"/>
            <w:vAlign w:val="center"/>
          </w:tcPr>
          <w:p w14:paraId="6193047F" w14:textId="0E169DF5" w:rsidR="008E18F6" w:rsidRPr="00684BB5" w:rsidRDefault="00684BB5" w:rsidP="00684BB5">
            <w:pPr>
              <w:ind w:firstLine="0"/>
              <w:jc w:val="left"/>
              <w:rPr>
                <w:sz w:val="18"/>
                <w:szCs w:val="18"/>
              </w:rPr>
            </w:pPr>
            <w:r w:rsidRPr="00684BB5">
              <w:rPr>
                <w:sz w:val="18"/>
                <w:szCs w:val="18"/>
              </w:rPr>
              <w:t>RMSE</w:t>
            </w:r>
          </w:p>
        </w:tc>
        <w:tc>
          <w:tcPr>
            <w:tcW w:w="1667" w:type="pct"/>
            <w:vAlign w:val="center"/>
          </w:tcPr>
          <w:p w14:paraId="60206B54" w14:textId="04136FD9" w:rsidR="008E18F6" w:rsidRPr="00334328" w:rsidRDefault="00334328" w:rsidP="00684BB5">
            <w:pPr>
              <w:ind w:firstLine="0"/>
              <w:jc w:val="left"/>
              <w:rPr>
                <w:sz w:val="18"/>
                <w:szCs w:val="18"/>
                <w:vertAlign w:val="superscript"/>
              </w:rPr>
            </w:pPr>
            <w:r w:rsidRPr="00334328">
              <w:rPr>
                <w:sz w:val="18"/>
                <w:szCs w:val="18"/>
              </w:rPr>
              <w:t>5.76×</w:t>
            </w:r>
            <w:r>
              <w:rPr>
                <w:sz w:val="18"/>
                <w:szCs w:val="18"/>
              </w:rPr>
              <w:t>10</w:t>
            </w:r>
            <w:r>
              <w:rPr>
                <w:sz w:val="18"/>
                <w:szCs w:val="18"/>
                <w:vertAlign w:val="superscript"/>
              </w:rPr>
              <w:t>–5</w:t>
            </w:r>
          </w:p>
        </w:tc>
        <w:tc>
          <w:tcPr>
            <w:tcW w:w="1666" w:type="pct"/>
            <w:vAlign w:val="center"/>
          </w:tcPr>
          <w:p w14:paraId="56C264A2" w14:textId="69222529" w:rsidR="008E18F6" w:rsidRPr="00684BB5" w:rsidRDefault="00334328" w:rsidP="00334328">
            <w:pPr>
              <w:ind w:firstLine="0"/>
              <w:jc w:val="left"/>
              <w:rPr>
                <w:sz w:val="18"/>
                <w:szCs w:val="18"/>
              </w:rPr>
            </w:pPr>
            <w:r>
              <w:rPr>
                <w:sz w:val="18"/>
                <w:szCs w:val="18"/>
              </w:rPr>
              <w:t>8.49</w:t>
            </w:r>
            <w:r w:rsidRPr="00334328">
              <w:rPr>
                <w:sz w:val="18"/>
                <w:szCs w:val="18"/>
              </w:rPr>
              <w:t>×</w:t>
            </w:r>
            <w:r>
              <w:rPr>
                <w:sz w:val="18"/>
                <w:szCs w:val="18"/>
              </w:rPr>
              <w:t>10</w:t>
            </w:r>
            <w:r>
              <w:rPr>
                <w:sz w:val="18"/>
                <w:szCs w:val="18"/>
                <w:vertAlign w:val="superscript"/>
              </w:rPr>
              <w:t>–5</w:t>
            </w:r>
          </w:p>
        </w:tc>
      </w:tr>
      <w:tr w:rsidR="00684BB5" w:rsidRPr="009A3755" w14:paraId="597473FB" w14:textId="77777777" w:rsidTr="00684BB5">
        <w:trPr>
          <w:trHeight w:val="284"/>
          <w:jc w:val="center"/>
        </w:trPr>
        <w:tc>
          <w:tcPr>
            <w:tcW w:w="1668" w:type="pct"/>
            <w:tcBorders>
              <w:bottom w:val="single" w:sz="12" w:space="0" w:color="000000"/>
            </w:tcBorders>
            <w:vAlign w:val="center"/>
          </w:tcPr>
          <w:p w14:paraId="4993B633" w14:textId="5BA17107" w:rsidR="00684BB5" w:rsidRPr="00684BB5" w:rsidRDefault="00684BB5" w:rsidP="00684BB5">
            <w:pPr>
              <w:ind w:firstLine="0"/>
              <w:jc w:val="left"/>
              <w:rPr>
                <w:sz w:val="18"/>
                <w:szCs w:val="18"/>
              </w:rPr>
            </w:pPr>
            <w:r w:rsidRPr="00684BB5">
              <w:rPr>
                <w:sz w:val="18"/>
                <w:szCs w:val="18"/>
              </w:rPr>
              <w:t>MAE</w:t>
            </w:r>
          </w:p>
        </w:tc>
        <w:tc>
          <w:tcPr>
            <w:tcW w:w="1667" w:type="pct"/>
            <w:tcBorders>
              <w:bottom w:val="single" w:sz="12" w:space="0" w:color="000000"/>
            </w:tcBorders>
            <w:vAlign w:val="center"/>
          </w:tcPr>
          <w:p w14:paraId="42C1A92E" w14:textId="43B97D9A" w:rsidR="00684BB5" w:rsidRPr="00684BB5" w:rsidRDefault="00334328" w:rsidP="00684BB5">
            <w:pPr>
              <w:ind w:firstLine="0"/>
              <w:jc w:val="left"/>
              <w:rPr>
                <w:sz w:val="18"/>
                <w:szCs w:val="18"/>
              </w:rPr>
            </w:pPr>
            <w:r>
              <w:rPr>
                <w:sz w:val="18"/>
                <w:szCs w:val="18"/>
              </w:rPr>
              <w:t>4.72</w:t>
            </w:r>
            <w:r w:rsidRPr="00334328">
              <w:rPr>
                <w:sz w:val="18"/>
                <w:szCs w:val="18"/>
              </w:rPr>
              <w:t>×</w:t>
            </w:r>
            <w:r>
              <w:rPr>
                <w:sz w:val="18"/>
                <w:szCs w:val="18"/>
              </w:rPr>
              <w:t>10</w:t>
            </w:r>
            <w:r>
              <w:rPr>
                <w:sz w:val="18"/>
                <w:szCs w:val="18"/>
                <w:vertAlign w:val="superscript"/>
              </w:rPr>
              <w:t>–5</w:t>
            </w:r>
          </w:p>
        </w:tc>
        <w:tc>
          <w:tcPr>
            <w:tcW w:w="1666" w:type="pct"/>
            <w:tcBorders>
              <w:bottom w:val="single" w:sz="12" w:space="0" w:color="000000"/>
            </w:tcBorders>
            <w:vAlign w:val="center"/>
          </w:tcPr>
          <w:p w14:paraId="1A841DB5" w14:textId="50D27025" w:rsidR="00684BB5" w:rsidRPr="00684BB5" w:rsidRDefault="00334328" w:rsidP="00684BB5">
            <w:pPr>
              <w:ind w:firstLine="0"/>
              <w:jc w:val="left"/>
              <w:rPr>
                <w:sz w:val="18"/>
                <w:szCs w:val="18"/>
              </w:rPr>
            </w:pPr>
            <w:r>
              <w:rPr>
                <w:sz w:val="18"/>
                <w:szCs w:val="18"/>
              </w:rPr>
              <w:t>6.90</w:t>
            </w:r>
            <w:r w:rsidRPr="00334328">
              <w:rPr>
                <w:sz w:val="18"/>
                <w:szCs w:val="18"/>
              </w:rPr>
              <w:t>×</w:t>
            </w:r>
            <w:r>
              <w:rPr>
                <w:sz w:val="18"/>
                <w:szCs w:val="18"/>
              </w:rPr>
              <w:t>10</w:t>
            </w:r>
            <w:r>
              <w:rPr>
                <w:sz w:val="18"/>
                <w:szCs w:val="18"/>
                <w:vertAlign w:val="superscript"/>
              </w:rPr>
              <w:t>–5</w:t>
            </w:r>
          </w:p>
        </w:tc>
      </w:tr>
    </w:tbl>
    <w:p w14:paraId="5368C04E" w14:textId="7EDF415C" w:rsidR="00242D84" w:rsidRDefault="00242D84" w:rsidP="00242D84">
      <w:pPr>
        <w:spacing w:before="120"/>
      </w:pPr>
      <w:r>
        <w:t xml:space="preserve">To further analyze the prediction result, </w:t>
      </w:r>
      <w:r w:rsidRPr="00242D84">
        <w:fldChar w:fldCharType="begin"/>
      </w:r>
      <w:r w:rsidRPr="00242D84">
        <w:instrText xml:space="preserve"> REF _Ref198411846 \h  \* MERGEFORMAT </w:instrText>
      </w:r>
      <w:r w:rsidRPr="00242D84">
        <w:fldChar w:fldCharType="separate"/>
      </w:r>
      <w:r w:rsidRPr="00242D84">
        <w:t xml:space="preserve">Table </w:t>
      </w:r>
      <w:r w:rsidRPr="00242D84">
        <w:rPr>
          <w:noProof/>
        </w:rPr>
        <w:t>1</w:t>
      </w:r>
      <w:r w:rsidRPr="00242D84">
        <w:fldChar w:fldCharType="end"/>
      </w:r>
      <w:r>
        <w:t xml:space="preserve"> lists the regression-based performance evaluation metrics, that is, R², RMSE, and MAE. As the data reveal, the proposed method achieves the reliable prediction in the training and testing phases with the accuracy rate of 97% and 77%, respectively. On the other hand, the RMSE and MAE quantities are inconsiderable indicating good match between the original and predicted response samples. Therefore, one can conclude that the proposed method can accurately predict the torsional response of the Hardanger Bridge subjected to some strong windstorms.</w:t>
      </w:r>
    </w:p>
    <w:p w14:paraId="3AFD8346" w14:textId="6F776BA0" w:rsidR="008E18F6" w:rsidRDefault="008E18F6" w:rsidP="008E18F6">
      <w:pPr>
        <w:pStyle w:val="heading1"/>
      </w:pPr>
      <w:r>
        <w:t>Conclusions</w:t>
      </w:r>
    </w:p>
    <w:p w14:paraId="0D8E523A" w14:textId="64052C57" w:rsidR="00A23FB3" w:rsidRDefault="00A23FB3" w:rsidP="008E18F6">
      <w:pPr>
        <w:ind w:firstLine="0"/>
      </w:pPr>
      <w:r>
        <w:t xml:space="preserve">This study presented a machine learning-aided prediction framework utilizing the </w:t>
      </w:r>
      <w:r w:rsidRPr="00A23FB3">
        <w:rPr>
          <w:rStyle w:val="Strong"/>
          <w:b w:val="0"/>
          <w:bCs w:val="0"/>
        </w:rPr>
        <w:t>BNN</w:t>
      </w:r>
      <w:r>
        <w:t xml:space="preserve"> to forecast the torsional vibration responses of the Hardanger Bridge under strong windstorms. To enhance model reliability and interpretability, the proposed method incorporated a </w:t>
      </w:r>
      <w:r w:rsidRPr="00A23FB3">
        <w:t>VIF-based feature selection</w:t>
      </w:r>
      <w:r>
        <w:t xml:space="preserve"> to mitigate multicollinearity among wind-related predictors. The BNN model was then trained and validated through a structured cross-validation approach to optimize its hyperparameters, ensuring robust predictions during both the training and testing phases.</w:t>
      </w:r>
    </w:p>
    <w:p w14:paraId="3582F77F" w14:textId="60BF04F1" w:rsidR="00A23FB3" w:rsidRDefault="00A23FB3" w:rsidP="00A23FB3">
      <w:r>
        <w:t xml:space="preserve">The performance evaluation of the proposed BNN-based predictive model clearly demonstrates its effectiveness in forecasting the torsional vibration responses of the Hardanger Bridge under wind-induced loads. The model exhibited strong predictive </w:t>
      </w:r>
      <w:r>
        <w:lastRenderedPageBreak/>
        <w:t>accuracy during both the training and testing phases, reflecting its ability to capture the complex nonlinear dynamics associated with wind-induced torsional vibrations. Moreover, the model predictions showed a high degree of consistency with the actual measured responses, validating its reliability and robustness. These findings indicate that the proposed BNN framework is a valuable tool for structural health monitoring of long-span cable-supported bridges, offering accurate and reliable predictions of torsional dynamics during severe wind events. This capability not only enhances real-time monitoring but also supports proactive decision-making for bridge safety and maintenance.</w:t>
      </w:r>
    </w:p>
    <w:p w14:paraId="4B7A5B3E" w14:textId="77777777" w:rsidR="00382277" w:rsidRDefault="009B2539" w:rsidP="00606587">
      <w:pPr>
        <w:pStyle w:val="heading1"/>
        <w:numPr>
          <w:ilvl w:val="0"/>
          <w:numId w:val="0"/>
        </w:numPr>
        <w:ind w:left="567" w:hanging="567"/>
      </w:pPr>
      <w:r>
        <w:t>References</w:t>
      </w:r>
    </w:p>
    <w:p w14:paraId="0CDD9E60" w14:textId="77777777" w:rsidR="008B3AC4" w:rsidRPr="008B3AC4" w:rsidRDefault="00703369" w:rsidP="00A23FB3">
      <w:pPr>
        <w:pStyle w:val="EndNoteBibliography"/>
        <w:ind w:left="426" w:hanging="426"/>
      </w:pPr>
      <w:r>
        <w:fldChar w:fldCharType="begin"/>
      </w:r>
      <w:r>
        <w:instrText xml:space="preserve"> ADDIN EN.REFLIST </w:instrText>
      </w:r>
      <w:r>
        <w:fldChar w:fldCharType="separate"/>
      </w:r>
      <w:r w:rsidR="008B3AC4" w:rsidRPr="008B3AC4">
        <w:t xml:space="preserve">1. </w:t>
      </w:r>
      <w:r w:rsidR="008B3AC4" w:rsidRPr="008B3AC4">
        <w:tab/>
        <w:t>Larsen A, Larose GL: Dynamic wind effects on suspension and cable-stayed bridges. Journal of Sound and Vibration 334:2-28 (2015).</w:t>
      </w:r>
    </w:p>
    <w:p w14:paraId="3A565396" w14:textId="77777777" w:rsidR="008B3AC4" w:rsidRPr="008B3AC4" w:rsidRDefault="008B3AC4" w:rsidP="00A23FB3">
      <w:pPr>
        <w:pStyle w:val="EndNoteBibliography"/>
        <w:ind w:left="426" w:hanging="426"/>
      </w:pPr>
      <w:r w:rsidRPr="008B3AC4">
        <w:t xml:space="preserve">2. </w:t>
      </w:r>
      <w:r w:rsidRPr="008B3AC4">
        <w:tab/>
        <w:t>Wang H, Mao J-X, Xu Z-D: Investigation of dynamic properties of a long-span cable-stayed bridge during typhoon events based on structural health monitoring. Journal of Wind Engineering and Industrial Aerodynamics 201:104172 (2020).</w:t>
      </w:r>
    </w:p>
    <w:p w14:paraId="564280C9" w14:textId="77777777" w:rsidR="008B3AC4" w:rsidRPr="008B3AC4" w:rsidRDefault="008B3AC4" w:rsidP="00A23FB3">
      <w:pPr>
        <w:pStyle w:val="EndNoteBibliography"/>
        <w:ind w:left="426" w:hanging="426"/>
      </w:pPr>
      <w:r w:rsidRPr="008B3AC4">
        <w:t xml:space="preserve">3. </w:t>
      </w:r>
      <w:r w:rsidRPr="008B3AC4">
        <w:tab/>
        <w:t>Zhou Y, Sun L: Effects of high winds on a long-span sea-crossing bridge based on structural health monitoring. Journal of Wind Engineering and Industrial Aerodynamics 174:260-268 (2018).</w:t>
      </w:r>
    </w:p>
    <w:p w14:paraId="2F7B28A3" w14:textId="77777777" w:rsidR="008B3AC4" w:rsidRPr="008B3AC4" w:rsidRDefault="008B3AC4" w:rsidP="00A23FB3">
      <w:pPr>
        <w:pStyle w:val="EndNoteBibliography"/>
        <w:ind w:left="426" w:hanging="426"/>
      </w:pPr>
      <w:r w:rsidRPr="008B3AC4">
        <w:t xml:space="preserve">4. </w:t>
      </w:r>
      <w:r w:rsidRPr="008B3AC4">
        <w:tab/>
        <w:t>Fenerci A, Kvåle KA, Petersen ØW, Rønnquist A, Øiseth O: Data set from long-term wind and acceleration monitoring of the Hardanger Bridge. Journal of Structural Engineering 147 (5):04721003 (2021).</w:t>
      </w:r>
    </w:p>
    <w:p w14:paraId="72DCDC85" w14:textId="77777777" w:rsidR="008B3AC4" w:rsidRPr="008B3AC4" w:rsidRDefault="008B3AC4" w:rsidP="00A23FB3">
      <w:pPr>
        <w:pStyle w:val="EndNoteBibliography"/>
        <w:ind w:left="426" w:hanging="426"/>
      </w:pPr>
      <w:r w:rsidRPr="008B3AC4">
        <w:t xml:space="preserve">5. </w:t>
      </w:r>
      <w:r w:rsidRPr="008B3AC4">
        <w:tab/>
        <w:t>Maheux S, King JPC, El Damatty A, Brancaleoni F: Assessment of nonlinear structural vertical-torsional coupling in cable-supported bridges. Engineering Structures 219:110800 (2020).</w:t>
      </w:r>
    </w:p>
    <w:p w14:paraId="73E9397B" w14:textId="77777777" w:rsidR="008B3AC4" w:rsidRPr="008B3AC4" w:rsidRDefault="008B3AC4" w:rsidP="00A23FB3">
      <w:pPr>
        <w:pStyle w:val="EndNoteBibliography"/>
        <w:ind w:left="426" w:hanging="426"/>
      </w:pPr>
      <w:r w:rsidRPr="008B3AC4">
        <w:t xml:space="preserve">6. </w:t>
      </w:r>
      <w:r w:rsidRPr="008B3AC4">
        <w:tab/>
        <w:t>Xia Y-X, Ni Y-Q, Zhang C: Evaluation of torsional response of a long-span suspension bridge under railway traffic and typhoons based on SHM data. Structural monitoring and maintenance 1 (4):371-392 (2014).</w:t>
      </w:r>
    </w:p>
    <w:p w14:paraId="2592827F" w14:textId="77777777" w:rsidR="008B3AC4" w:rsidRPr="008B3AC4" w:rsidRDefault="008B3AC4" w:rsidP="00A23FB3">
      <w:pPr>
        <w:pStyle w:val="EndNoteBibliography"/>
        <w:ind w:left="426" w:hanging="426"/>
      </w:pPr>
      <w:r w:rsidRPr="008B3AC4">
        <w:t xml:space="preserve">7. </w:t>
      </w:r>
      <w:r w:rsidRPr="008B3AC4">
        <w:tab/>
        <w:t>Tang H, Li Y: Flutter performance of a double-main-span suspension bridge during erection with temporary constraints on girders. Journal of Wind Engineering and Industrial Aerodynamics 240:105508 (2023).</w:t>
      </w:r>
    </w:p>
    <w:p w14:paraId="280B28CA" w14:textId="77777777" w:rsidR="008B3AC4" w:rsidRPr="008B3AC4" w:rsidRDefault="008B3AC4" w:rsidP="00A23FB3">
      <w:pPr>
        <w:pStyle w:val="EndNoteBibliography"/>
        <w:ind w:left="426" w:hanging="426"/>
      </w:pPr>
      <w:r w:rsidRPr="008B3AC4">
        <w:t xml:space="preserve">8. </w:t>
      </w:r>
      <w:r w:rsidRPr="008B3AC4">
        <w:tab/>
        <w:t>Ge Y, Zhao L, Cao J: Case study of vortex-induced vibration and mitigation mechanism for a long-span suspension bridge. Journal of Wind Engineering and Industrial Aerodynamics 220:104866 (2022).</w:t>
      </w:r>
    </w:p>
    <w:p w14:paraId="64455728" w14:textId="77777777" w:rsidR="008B3AC4" w:rsidRPr="008B3AC4" w:rsidRDefault="008B3AC4" w:rsidP="00A23FB3">
      <w:pPr>
        <w:pStyle w:val="EndNoteBibliography"/>
        <w:ind w:left="426" w:hanging="426"/>
      </w:pPr>
      <w:r w:rsidRPr="008B3AC4">
        <w:t xml:space="preserve">9. </w:t>
      </w:r>
      <w:r w:rsidRPr="008B3AC4">
        <w:tab/>
        <w:t>Song D, Kim W, Kwon O-K, Choi H: Vertical and torsional vibrations before the collapse of the Tacoma Narrows Bridge in 1940. Journal of Fluid Mechanics 949:A11 (2022).</w:t>
      </w:r>
    </w:p>
    <w:p w14:paraId="4EC62037" w14:textId="77777777" w:rsidR="008B3AC4" w:rsidRPr="008B3AC4" w:rsidRDefault="008B3AC4" w:rsidP="00A23FB3">
      <w:pPr>
        <w:pStyle w:val="EndNoteBibliography"/>
        <w:ind w:left="426" w:hanging="426"/>
      </w:pPr>
      <w:r w:rsidRPr="008B3AC4">
        <w:t xml:space="preserve">10. </w:t>
      </w:r>
      <w:r w:rsidRPr="008B3AC4">
        <w:tab/>
        <w:t>Entezami A, Behkamal B, De Michele C, Mariani S: A kernelized deep regression method to simultaneously predict and normalize displacement responses of long-span bridges via limited synthetic aperture radar images. Structural Health Monitoring In Press (2025).</w:t>
      </w:r>
    </w:p>
    <w:p w14:paraId="5BE81376" w14:textId="77777777" w:rsidR="008B3AC4" w:rsidRPr="008B3AC4" w:rsidRDefault="008B3AC4" w:rsidP="00A23FB3">
      <w:pPr>
        <w:pStyle w:val="EndNoteBibliography"/>
        <w:ind w:left="426" w:hanging="426"/>
      </w:pPr>
      <w:r w:rsidRPr="008B3AC4">
        <w:t xml:space="preserve">11. </w:t>
      </w:r>
      <w:r w:rsidRPr="008B3AC4">
        <w:tab/>
        <w:t>Entezami A, Behkamal B, De Michele C, Mariani S: Displacement prediction for long-span bridges via limited remote sensing images: An adaptive ensemble regression method. Measurement 245:116567 (2025).</w:t>
      </w:r>
    </w:p>
    <w:p w14:paraId="245B68E2" w14:textId="77777777" w:rsidR="008B3AC4" w:rsidRPr="008B3AC4" w:rsidRDefault="008B3AC4" w:rsidP="00A23FB3">
      <w:pPr>
        <w:pStyle w:val="EndNoteBibliography"/>
        <w:ind w:left="426" w:hanging="426"/>
      </w:pPr>
      <w:r w:rsidRPr="008B3AC4">
        <w:t xml:space="preserve">12. </w:t>
      </w:r>
      <w:r w:rsidRPr="008B3AC4">
        <w:tab/>
        <w:t xml:space="preserve">Sarmadi H, Behkamal B, Entezami A: Prediction of long-term dynamic responses of a heritage masonry building under thermal effects by automated kernel-based regression </w:t>
      </w:r>
      <w:r w:rsidRPr="008B3AC4">
        <w:lastRenderedPageBreak/>
        <w:t>modeling. In: Nehdi ML, Arora HC, Kumar K, Damaševičius R, Kumar A (eds) Artificial Intelligence Applications for Sustainable Construction. Woodhead Publishing, pp 257-283 (2024).</w:t>
      </w:r>
    </w:p>
    <w:p w14:paraId="5AB3AAA0" w14:textId="77777777" w:rsidR="008B3AC4" w:rsidRPr="008B3AC4" w:rsidRDefault="008B3AC4" w:rsidP="00A23FB3">
      <w:pPr>
        <w:pStyle w:val="EndNoteBibliography"/>
        <w:ind w:left="426" w:hanging="426"/>
      </w:pPr>
      <w:r w:rsidRPr="008B3AC4">
        <w:t xml:space="preserve">13. </w:t>
      </w:r>
      <w:r w:rsidRPr="008B3AC4">
        <w:tab/>
        <w:t>Manikandan K, Nidhi M, Micelli F, Cascardi A, Sivasubramanian MVR: Fundamental frequency formulation and modeling of masonry slender structures: A comparative study of machine learning and regression techniques. Engineering Failure Analysis 162:108420 (2024).</w:t>
      </w:r>
    </w:p>
    <w:p w14:paraId="57C4006A" w14:textId="77777777" w:rsidR="008B3AC4" w:rsidRPr="008B3AC4" w:rsidRDefault="008B3AC4" w:rsidP="00A23FB3">
      <w:pPr>
        <w:pStyle w:val="EndNoteBibliography"/>
        <w:ind w:left="426" w:hanging="426"/>
      </w:pPr>
      <w:r w:rsidRPr="008B3AC4">
        <w:t xml:space="preserve">14. </w:t>
      </w:r>
      <w:r w:rsidRPr="008B3AC4">
        <w:tab/>
        <w:t>Huang B, Kang F, Li J, Wang F: Displacement prediction model for high arch dams using long short-term memory based encoder-decoder with dual-stage attention considering measured dam temperature. Engineering Structures 280:115686 (2023).</w:t>
      </w:r>
    </w:p>
    <w:p w14:paraId="577E5B2C" w14:textId="77777777" w:rsidR="008B3AC4" w:rsidRPr="008B3AC4" w:rsidRDefault="008B3AC4" w:rsidP="00A23FB3">
      <w:pPr>
        <w:pStyle w:val="EndNoteBibliography"/>
        <w:ind w:left="426" w:hanging="426"/>
      </w:pPr>
      <w:r w:rsidRPr="008B3AC4">
        <w:t xml:space="preserve">15. </w:t>
      </w:r>
      <w:r w:rsidRPr="008B3AC4">
        <w:tab/>
        <w:t>Li Y, Bao T, Gao Z, Shu X, Zhang K, Xie L, Zhang Z: A new dam structural response estimation paradigm powered by deep learning and transfer learning techniques. Structural Health Monitoring 21 (3):770-787 (2022).</w:t>
      </w:r>
    </w:p>
    <w:p w14:paraId="0B476935" w14:textId="77777777" w:rsidR="008B3AC4" w:rsidRPr="008B3AC4" w:rsidRDefault="008B3AC4" w:rsidP="00A23FB3">
      <w:pPr>
        <w:pStyle w:val="EndNoteBibliography"/>
        <w:ind w:left="426" w:hanging="426"/>
      </w:pPr>
      <w:r w:rsidRPr="008B3AC4">
        <w:t xml:space="preserve">16. </w:t>
      </w:r>
      <w:r w:rsidRPr="008B3AC4">
        <w:tab/>
        <w:t>Asgarkhani N, Kazemi F, Jakubczyk-Gałczyńska A, Mohebi B, Jankowski R: Seismic response and performance prediction of steel buckling-restrained braced frames using machine-learning methods. Engineering Applications of Artificial Intelligence 128:107388 (2024).</w:t>
      </w:r>
    </w:p>
    <w:p w14:paraId="3CF0C8F1" w14:textId="77777777" w:rsidR="008B3AC4" w:rsidRPr="008B3AC4" w:rsidRDefault="008B3AC4" w:rsidP="00A23FB3">
      <w:pPr>
        <w:pStyle w:val="EndNoteBibliography"/>
        <w:ind w:left="426" w:hanging="426"/>
      </w:pPr>
      <w:r w:rsidRPr="008B3AC4">
        <w:t xml:space="preserve">17. </w:t>
      </w:r>
      <w:r w:rsidRPr="008B3AC4">
        <w:tab/>
        <w:t>Pak H, Paal SG: A real-time structural seismic response prediction framework based on transfer learning and unsupervised learning. Engineering Structures 323:119227 (2025).</w:t>
      </w:r>
    </w:p>
    <w:p w14:paraId="17E3C7AC" w14:textId="77777777" w:rsidR="008B3AC4" w:rsidRPr="008B3AC4" w:rsidRDefault="008B3AC4" w:rsidP="00A23FB3">
      <w:pPr>
        <w:pStyle w:val="EndNoteBibliography"/>
        <w:ind w:left="426" w:hanging="426"/>
      </w:pPr>
      <w:r w:rsidRPr="008B3AC4">
        <w:t xml:space="preserve">18. </w:t>
      </w:r>
      <w:r w:rsidRPr="008B3AC4">
        <w:tab/>
        <w:t>Entezami A, Sarmadi H: Machine learning-aided prediction of windstorm-induced vibration responses of long-span suspension bridges. Computer-Aided Civil and Infrastructure Engineering:1-18 (2024).</w:t>
      </w:r>
    </w:p>
    <w:p w14:paraId="04462045" w14:textId="77777777" w:rsidR="008B3AC4" w:rsidRPr="008B3AC4" w:rsidRDefault="008B3AC4" w:rsidP="00A23FB3">
      <w:pPr>
        <w:pStyle w:val="EndNoteBibliography"/>
        <w:ind w:left="426" w:hanging="426"/>
      </w:pPr>
      <w:r w:rsidRPr="008B3AC4">
        <w:t xml:space="preserve">19. </w:t>
      </w:r>
      <w:r w:rsidRPr="008B3AC4">
        <w:tab/>
        <w:t>Zhang Y-M, Wang H, Mao J-X, Xu Z-D, Zhang Y-F: Probabilistic framework with bayesian optimization for predicting typhoon-induced dynamic responses of a long-span bridge. Journal of Structural Engineering 147 (1):04020297 (2021).</w:t>
      </w:r>
    </w:p>
    <w:p w14:paraId="2E2BF721" w14:textId="77777777" w:rsidR="008B3AC4" w:rsidRPr="008B3AC4" w:rsidRDefault="008B3AC4" w:rsidP="00A23FB3">
      <w:pPr>
        <w:pStyle w:val="EndNoteBibliography"/>
        <w:ind w:left="426" w:hanging="426"/>
      </w:pPr>
      <w:r w:rsidRPr="008B3AC4">
        <w:t xml:space="preserve">20. </w:t>
      </w:r>
      <w:r w:rsidRPr="008B3AC4">
        <w:tab/>
        <w:t>Wang H, Zhang Y-M, Mao J-X, Wan H-P: A probabilistic approach for short-term prediction of wind gust speed using ensemble learning. Journal of Wind Engineering and Industrial Aerodynamics 202:104198 (2020).</w:t>
      </w:r>
    </w:p>
    <w:p w14:paraId="4E41D4E7" w14:textId="77777777" w:rsidR="008B3AC4" w:rsidRPr="008B3AC4" w:rsidRDefault="008B3AC4" w:rsidP="00A23FB3">
      <w:pPr>
        <w:pStyle w:val="EndNoteBibliography"/>
        <w:ind w:left="426" w:hanging="426"/>
      </w:pPr>
      <w:r w:rsidRPr="008B3AC4">
        <w:t xml:space="preserve">21. </w:t>
      </w:r>
      <w:r w:rsidRPr="008B3AC4">
        <w:tab/>
        <w:t>Wang Q-A, Zhang C, Ma Z-G, Ni Y-Q: Modelling and forecasting of SHM strain measurement for a large-scale suspension bridge during typhoon events using variational heteroscedastic Gaussian process. Engineering Structures 251:113554 (2022).</w:t>
      </w:r>
    </w:p>
    <w:p w14:paraId="3F6AC5F5" w14:textId="77777777" w:rsidR="008B3AC4" w:rsidRPr="008B3AC4" w:rsidRDefault="008B3AC4" w:rsidP="00A23FB3">
      <w:pPr>
        <w:pStyle w:val="EndNoteBibliography"/>
        <w:ind w:left="426" w:hanging="426"/>
      </w:pPr>
      <w:r w:rsidRPr="008B3AC4">
        <w:t xml:space="preserve">22. </w:t>
      </w:r>
      <w:r w:rsidRPr="008B3AC4">
        <w:tab/>
        <w:t>Ye X-W, Sun Z, Lu J: Prediction and early warning of wind-induced girder and tower vibration in cable-stayed bridges with machine learning-based approach. Engineering Structures 275:115261 (2023).</w:t>
      </w:r>
    </w:p>
    <w:p w14:paraId="7B3B35DD" w14:textId="77777777" w:rsidR="008B3AC4" w:rsidRPr="008B3AC4" w:rsidRDefault="008B3AC4" w:rsidP="00A23FB3">
      <w:pPr>
        <w:pStyle w:val="EndNoteBibliography"/>
        <w:ind w:left="426" w:hanging="426"/>
      </w:pPr>
      <w:r w:rsidRPr="008B3AC4">
        <w:t xml:space="preserve">23. </w:t>
      </w:r>
      <w:r w:rsidRPr="008B3AC4">
        <w:tab/>
        <w:t>Alin A: Multicollinearity. WIREs Computational Statistics 2 (3):370-374 (2010).</w:t>
      </w:r>
    </w:p>
    <w:p w14:paraId="013102A6" w14:textId="77777777" w:rsidR="008B3AC4" w:rsidRPr="008B3AC4" w:rsidRDefault="008B3AC4" w:rsidP="00A23FB3">
      <w:pPr>
        <w:pStyle w:val="EndNoteBibliography"/>
        <w:ind w:left="426" w:hanging="426"/>
      </w:pPr>
      <w:r w:rsidRPr="008B3AC4">
        <w:t xml:space="preserve">24. </w:t>
      </w:r>
      <w:r w:rsidRPr="008B3AC4">
        <w:tab/>
        <w:t>Dormann CF, Elith J, Bacher S, Buchmann C, Carl G, Carré G, Marquéz JRG, Gruber B, Lafourcade B, Leitão PJ, Münkemüller T, McClean C, Osborne PE, Reineking B, Schröder B, Skidmore AK, Zurell D, Lautenbach S: Collinearity: A review of methods to deal with it and a simulation study evaluating their performance. Ecography 36 (1):27-46 (2013).</w:t>
      </w:r>
    </w:p>
    <w:p w14:paraId="3B9E5015" w14:textId="77777777" w:rsidR="008B3AC4" w:rsidRPr="008B3AC4" w:rsidRDefault="008B3AC4" w:rsidP="00A23FB3">
      <w:pPr>
        <w:pStyle w:val="EndNoteBibliography"/>
        <w:ind w:left="426" w:hanging="426"/>
      </w:pPr>
      <w:r w:rsidRPr="008B3AC4">
        <w:t xml:space="preserve">25. </w:t>
      </w:r>
      <w:r w:rsidRPr="008B3AC4">
        <w:tab/>
        <w:t>Goodfellow I, Bengio Y, Courville A: Deep Learning. MIT Press, Cambridge, Massachusetts, United States (2016).</w:t>
      </w:r>
    </w:p>
    <w:p w14:paraId="2F9B4679" w14:textId="77777777" w:rsidR="008B3AC4" w:rsidRPr="008B3AC4" w:rsidRDefault="008B3AC4" w:rsidP="00A23FB3">
      <w:pPr>
        <w:pStyle w:val="EndNoteBibliography"/>
        <w:ind w:left="426" w:hanging="426"/>
      </w:pPr>
      <w:r w:rsidRPr="008B3AC4">
        <w:t xml:space="preserve">26. </w:t>
      </w:r>
      <w:r w:rsidRPr="008B3AC4">
        <w:tab/>
        <w:t>Bergstra J, Bengio Y: Random search for hyper-parameter optimization. The journal of machine learning research 13 (1):281-305 (2012).</w:t>
      </w:r>
    </w:p>
    <w:p w14:paraId="2954D5F5" w14:textId="77777777" w:rsidR="008B3AC4" w:rsidRPr="008B3AC4" w:rsidRDefault="008B3AC4" w:rsidP="00A23FB3">
      <w:pPr>
        <w:pStyle w:val="EndNoteBibliography"/>
        <w:ind w:left="426" w:hanging="426"/>
      </w:pPr>
      <w:r w:rsidRPr="008B3AC4">
        <w:t xml:space="preserve">27. </w:t>
      </w:r>
      <w:r w:rsidRPr="008B3AC4">
        <w:tab/>
        <w:t>MacKay DJC: A practical Bayesian framework for backpropagation networks. Neural Computation 4 (3):448-472 (1992).</w:t>
      </w:r>
    </w:p>
    <w:p w14:paraId="5415038D" w14:textId="77777777" w:rsidR="008B3AC4" w:rsidRPr="008B3AC4" w:rsidRDefault="008B3AC4" w:rsidP="00A23FB3">
      <w:pPr>
        <w:pStyle w:val="EndNoteBibliography"/>
        <w:ind w:left="426" w:hanging="426"/>
      </w:pPr>
      <w:r w:rsidRPr="008B3AC4">
        <w:lastRenderedPageBreak/>
        <w:t xml:space="preserve">28. </w:t>
      </w:r>
      <w:r w:rsidRPr="008B3AC4">
        <w:tab/>
        <w:t>Neal RM: Bayesian Learning for Neural Networks. Springer New York,  (2012).</w:t>
      </w:r>
    </w:p>
    <w:p w14:paraId="316DCB73" w14:textId="77777777" w:rsidR="008B3AC4" w:rsidRPr="008B3AC4" w:rsidRDefault="008B3AC4" w:rsidP="00A23FB3">
      <w:pPr>
        <w:pStyle w:val="EndNoteBibliography"/>
        <w:ind w:left="426" w:hanging="426"/>
      </w:pPr>
      <w:r w:rsidRPr="008B3AC4">
        <w:t xml:space="preserve">29. </w:t>
      </w:r>
      <w:r w:rsidRPr="008B3AC4">
        <w:tab/>
        <w:t>Xu W, Chen RTQ, Li X, Duvenaud D: Infinitely Deep Bayesian Neural Networks with Stochastic Differential Equations. Paper presented at the Proceedings of The 25th International Conference on Artificial Intelligence and Statistics, Proceedings of Machine Learning Research, (2022).</w:t>
      </w:r>
    </w:p>
    <w:p w14:paraId="689E648F" w14:textId="45C1A899" w:rsidR="00382277" w:rsidRPr="00606587" w:rsidRDefault="00703369" w:rsidP="00A23FB3">
      <w:pPr>
        <w:pStyle w:val="referenceitem"/>
        <w:numPr>
          <w:ilvl w:val="0"/>
          <w:numId w:val="0"/>
        </w:numPr>
        <w:ind w:left="426" w:hanging="426"/>
      </w:pPr>
      <w:r>
        <w:fldChar w:fldCharType="end"/>
      </w:r>
    </w:p>
    <w:sectPr w:rsidR="00382277" w:rsidRPr="00606587" w:rsidSect="009F7FCE">
      <w:headerReference w:type="even" r:id="rId15"/>
      <w:headerReference w:type="default" r:id="rId16"/>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500D4" w14:textId="77777777" w:rsidR="00BB3EF9" w:rsidRDefault="00BB3EF9">
      <w:r>
        <w:separator/>
      </w:r>
    </w:p>
  </w:endnote>
  <w:endnote w:type="continuationSeparator" w:id="0">
    <w:p w14:paraId="29C0FFC0" w14:textId="77777777" w:rsidR="00BB3EF9" w:rsidRDefault="00BB3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1C6691" w14:textId="77777777" w:rsidR="00BB3EF9" w:rsidRDefault="00BB3EF9" w:rsidP="009F7FCE">
      <w:pPr>
        <w:ind w:firstLine="0"/>
      </w:pPr>
      <w:r>
        <w:separator/>
      </w:r>
    </w:p>
  </w:footnote>
  <w:footnote w:type="continuationSeparator" w:id="0">
    <w:p w14:paraId="7131B6EE" w14:textId="77777777" w:rsidR="00BB3EF9" w:rsidRDefault="00BB3EF9"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6B072" w14:textId="77777777" w:rsidR="009B2539" w:rsidRDefault="009B2539" w:rsidP="00F321B4">
    <w:pPr>
      <w:pStyle w:val="Header"/>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056A" w14:textId="77777777" w:rsidR="002D48C5" w:rsidRDefault="002D48C5" w:rsidP="002D48C5">
    <w:pPr>
      <w:pStyle w:val="Header"/>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032028151">
    <w:abstractNumId w:val="0"/>
  </w:num>
  <w:num w:numId="2" w16cid:durableId="1320845079">
    <w:abstractNumId w:val="0"/>
  </w:num>
  <w:num w:numId="3" w16cid:durableId="368648402">
    <w:abstractNumId w:val="1"/>
  </w:num>
  <w:num w:numId="4" w16cid:durableId="1945990336">
    <w:abstractNumId w:val="1"/>
  </w:num>
  <w:num w:numId="5" w16cid:durableId="759182713">
    <w:abstractNumId w:val="3"/>
  </w:num>
  <w:num w:numId="6" w16cid:durableId="259140242">
    <w:abstractNumId w:val="3"/>
  </w:num>
  <w:num w:numId="7" w16cid:durableId="1978294339">
    <w:abstractNumId w:val="2"/>
  </w:num>
  <w:num w:numId="8" w16cid:durableId="1334994516">
    <w:abstractNumId w:val="4"/>
  </w:num>
  <w:num w:numId="9" w16cid:durableId="46131572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7"/>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SpringerConference&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psppas4a5wvfea9xr529sw20d5s2r2fsss&quot;&gt;SHM 2024&lt;record-ids&gt;&lt;item&gt;1269&lt;/item&gt;&lt;item&gt;2158&lt;/item&gt;&lt;item&gt;2309&lt;/item&gt;&lt;item&gt;2589&lt;/item&gt;&lt;item&gt;2632&lt;/item&gt;&lt;item&gt;2669&lt;/item&gt;&lt;item&gt;2727&lt;/item&gt;&lt;item&gt;2740&lt;/item&gt;&lt;item&gt;2742&lt;/item&gt;&lt;item&gt;2744&lt;/item&gt;&lt;item&gt;2747&lt;/item&gt;&lt;item&gt;2752&lt;/item&gt;&lt;item&gt;2772&lt;/item&gt;&lt;item&gt;2849&lt;/item&gt;&lt;item&gt;2903&lt;/item&gt;&lt;item&gt;3081&lt;/item&gt;&lt;item&gt;3135&lt;/item&gt;&lt;item&gt;3146&lt;/item&gt;&lt;item&gt;3151&lt;/item&gt;&lt;item&gt;3154&lt;/item&gt;&lt;item&gt;3253&lt;/item&gt;&lt;item&gt;3254&lt;/item&gt;&lt;item&gt;3256&lt;/item&gt;&lt;item&gt;3258&lt;/item&gt;&lt;item&gt;3259&lt;/item&gt;&lt;item&gt;3260&lt;/item&gt;&lt;item&gt;3261&lt;/item&gt;&lt;item&gt;3262&lt;/item&gt;&lt;item&gt;3263&lt;/item&gt;&lt;/record-ids&gt;&lt;/item&gt;&lt;/Libraries&gt;"/>
  </w:docVars>
  <w:rsids>
    <w:rsidRoot w:val="009F7FCE"/>
    <w:rsid w:val="00007B52"/>
    <w:rsid w:val="0001775B"/>
    <w:rsid w:val="00070A00"/>
    <w:rsid w:val="00074143"/>
    <w:rsid w:val="000A518F"/>
    <w:rsid w:val="000C59CF"/>
    <w:rsid w:val="000D6914"/>
    <w:rsid w:val="001A02F0"/>
    <w:rsid w:val="00242D84"/>
    <w:rsid w:val="00251926"/>
    <w:rsid w:val="0028132C"/>
    <w:rsid w:val="002A45CB"/>
    <w:rsid w:val="002C642B"/>
    <w:rsid w:val="002D48C5"/>
    <w:rsid w:val="002E0D80"/>
    <w:rsid w:val="002E276A"/>
    <w:rsid w:val="002F71BB"/>
    <w:rsid w:val="00334328"/>
    <w:rsid w:val="003361CE"/>
    <w:rsid w:val="00382277"/>
    <w:rsid w:val="003C4AE7"/>
    <w:rsid w:val="003E06BA"/>
    <w:rsid w:val="00446EE1"/>
    <w:rsid w:val="00474D48"/>
    <w:rsid w:val="004B79FB"/>
    <w:rsid w:val="004D3925"/>
    <w:rsid w:val="00507D50"/>
    <w:rsid w:val="00535582"/>
    <w:rsid w:val="005616DF"/>
    <w:rsid w:val="005B79D4"/>
    <w:rsid w:val="006047DE"/>
    <w:rsid w:val="00684BB5"/>
    <w:rsid w:val="00697772"/>
    <w:rsid w:val="00697D1C"/>
    <w:rsid w:val="006D6599"/>
    <w:rsid w:val="00703369"/>
    <w:rsid w:val="00717D74"/>
    <w:rsid w:val="00752257"/>
    <w:rsid w:val="007A0254"/>
    <w:rsid w:val="0082615C"/>
    <w:rsid w:val="0084425E"/>
    <w:rsid w:val="00847A89"/>
    <w:rsid w:val="008B3AC4"/>
    <w:rsid w:val="008E18F6"/>
    <w:rsid w:val="008E3052"/>
    <w:rsid w:val="008F2D4C"/>
    <w:rsid w:val="0092205C"/>
    <w:rsid w:val="009920F8"/>
    <w:rsid w:val="009930E4"/>
    <w:rsid w:val="009B2539"/>
    <w:rsid w:val="009E75C7"/>
    <w:rsid w:val="009F030A"/>
    <w:rsid w:val="009F7FCE"/>
    <w:rsid w:val="00A23FB3"/>
    <w:rsid w:val="00A52EF6"/>
    <w:rsid w:val="00A826EB"/>
    <w:rsid w:val="00B23481"/>
    <w:rsid w:val="00B367A6"/>
    <w:rsid w:val="00B37A81"/>
    <w:rsid w:val="00BB3EF9"/>
    <w:rsid w:val="00C05D54"/>
    <w:rsid w:val="00C16A63"/>
    <w:rsid w:val="00CA1477"/>
    <w:rsid w:val="00D31277"/>
    <w:rsid w:val="00D734FE"/>
    <w:rsid w:val="00DC2CA9"/>
    <w:rsid w:val="00DC6469"/>
    <w:rsid w:val="00DD6EAD"/>
    <w:rsid w:val="00E12833"/>
    <w:rsid w:val="00E257C2"/>
    <w:rsid w:val="00E603C7"/>
    <w:rsid w:val="00E67F8C"/>
    <w:rsid w:val="00E703B9"/>
    <w:rsid w:val="00EB762B"/>
    <w:rsid w:val="00EC720C"/>
    <w:rsid w:val="00EE3CBA"/>
    <w:rsid w:val="00F047C8"/>
    <w:rsid w:val="00F07517"/>
    <w:rsid w:val="00F321B4"/>
    <w:rsid w:val="00F4186A"/>
    <w:rsid w:val="00F715D5"/>
    <w:rsid w:val="00F86722"/>
    <w:rsid w:val="00FA6F25"/>
    <w:rsid w:val="00FE6B0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59CAC"/>
  <w15:docId w15:val="{49EAAB13-5422-4A73-9E73-D3A8766B9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semiHidden="1"/>
    <w:lsdException w:name="heading 2" w:semiHidden="1"/>
    <w:lsdException w:name="heading 3"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7667"/>
    <w:pPr>
      <w:overflowPunct w:val="0"/>
      <w:autoSpaceDE w:val="0"/>
      <w:autoSpaceDN w:val="0"/>
      <w:adjustRightInd w:val="0"/>
      <w:spacing w:line="240" w:lineRule="atLeast"/>
      <w:ind w:firstLine="227"/>
      <w:jc w:val="both"/>
      <w:textAlignment w:val="baseline"/>
    </w:pPr>
    <w:rPr>
      <w:lang w:val="en-US" w:eastAsia="en-US"/>
    </w:rPr>
  </w:style>
  <w:style w:type="paragraph" w:styleId="Heading10">
    <w:name w:val="heading 1"/>
    <w:basedOn w:val="Normal"/>
    <w:next w:val="p1a"/>
    <w:semiHidden/>
    <w:unhideWhenUsed/>
    <w:qFormat/>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Heading3">
    <w:name w:val="heading 3"/>
    <w:basedOn w:val="Normal"/>
    <w:next w:val="Normal"/>
    <w:qFormat/>
    <w:pPr>
      <w:spacing w:before="360"/>
      <w:ind w:firstLine="0"/>
      <w:outlineLvl w:val="2"/>
    </w:pPr>
  </w:style>
  <w:style w:type="paragraph" w:styleId="Heading4">
    <w:name w:val="heading 4"/>
    <w:basedOn w:val="Normal"/>
    <w:next w:val="Normal"/>
    <w:qFormat/>
    <w:pPr>
      <w:spacing w:before="24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NoList"/>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FootnoteReference">
    <w:name w:val="footnote reference"/>
    <w:semiHidden/>
    <w:unhideWhenUsed/>
    <w:rPr>
      <w:position w:val="0"/>
      <w:vertAlign w:val="superscript"/>
    </w:rPr>
  </w:style>
  <w:style w:type="paragraph" w:styleId="Footer">
    <w:name w:val="footer"/>
    <w:basedOn w:val="Normal"/>
    <w:semiHidden/>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0">
    <w:name w:val="heading3"/>
    <w:rPr>
      <w:b/>
    </w:rPr>
  </w:style>
  <w:style w:type="character" w:customStyle="1" w:styleId="heading40">
    <w:name w:val="heading4"/>
    <w:rPr>
      <w:i/>
    </w:rPr>
  </w:style>
  <w:style w:type="numbering" w:customStyle="1" w:styleId="headings">
    <w:name w:val="headings"/>
    <w:basedOn w:val="arabnumitem"/>
    <w:pPr>
      <w:numPr>
        <w:numId w:val="7"/>
      </w:numPr>
    </w:pPr>
  </w:style>
  <w:style w:type="character" w:styleId="Hyperlink">
    <w:name w:val="Hyperlink"/>
    <w:semiHidden/>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NoList"/>
    <w:pPr>
      <w:numPr>
        <w:numId w:val="1"/>
      </w:numPr>
    </w:pPr>
  </w:style>
  <w:style w:type="numbering" w:customStyle="1" w:styleId="itemization2">
    <w:name w:val="itemization2"/>
    <w:basedOn w:val="NoList"/>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Header">
    <w:name w:val="header"/>
    <w:basedOn w:val="Normal"/>
    <w:semiHidden/>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link w:val="p1aChar"/>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NoList"/>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PageNumber">
    <w:name w:val="page numb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rPr>
      <w:rFonts w:ascii="Courier" w:hAnsi="Courier"/>
      <w:noProof/>
    </w:rPr>
  </w:style>
  <w:style w:type="character" w:customStyle="1" w:styleId="ORCID">
    <w:name w:val="ORCID"/>
    <w:rPr>
      <w:position w:val="0"/>
      <w:vertAlign w:val="superscript"/>
    </w:rPr>
  </w:style>
  <w:style w:type="paragraph" w:styleId="FootnoteText">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customStyle="1" w:styleId="p1aChar">
    <w:name w:val="p1a Char"/>
    <w:basedOn w:val="DefaultParagraphFont"/>
    <w:link w:val="p1a"/>
    <w:rsid w:val="00070A00"/>
    <w:rPr>
      <w:lang w:val="en-US" w:eastAsia="en-US"/>
    </w:rPr>
  </w:style>
  <w:style w:type="paragraph" w:styleId="Caption">
    <w:name w:val="caption"/>
    <w:basedOn w:val="Normal"/>
    <w:next w:val="Normal"/>
    <w:link w:val="CaptionChar"/>
    <w:autoRedefine/>
    <w:qFormat/>
    <w:rsid w:val="00C16A63"/>
    <w:pPr>
      <w:spacing w:before="240" w:after="120" w:line="240" w:lineRule="auto"/>
      <w:ind w:firstLine="0"/>
    </w:pPr>
    <w:rPr>
      <w:iCs/>
      <w:sz w:val="18"/>
      <w:szCs w:val="18"/>
    </w:rPr>
  </w:style>
  <w:style w:type="paragraph" w:customStyle="1" w:styleId="EndNoteBibliographyTitle">
    <w:name w:val="EndNote Bibliography Title"/>
    <w:basedOn w:val="Normal"/>
    <w:link w:val="EndNoteBibliographyTitleChar"/>
    <w:rsid w:val="00703369"/>
    <w:pPr>
      <w:jc w:val="center"/>
    </w:pPr>
    <w:rPr>
      <w:noProof/>
      <w:sz w:val="18"/>
    </w:rPr>
  </w:style>
  <w:style w:type="character" w:customStyle="1" w:styleId="EndNoteBibliographyTitleChar">
    <w:name w:val="EndNote Bibliography Title Char"/>
    <w:basedOn w:val="p1aChar"/>
    <w:link w:val="EndNoteBibliographyTitle"/>
    <w:rsid w:val="00703369"/>
    <w:rPr>
      <w:noProof/>
      <w:sz w:val="18"/>
      <w:lang w:val="en-US" w:eastAsia="en-US"/>
    </w:rPr>
  </w:style>
  <w:style w:type="paragraph" w:customStyle="1" w:styleId="EndNoteBibliography">
    <w:name w:val="EndNote Bibliography"/>
    <w:basedOn w:val="Normal"/>
    <w:link w:val="EndNoteBibliographyChar"/>
    <w:rsid w:val="00703369"/>
    <w:rPr>
      <w:noProof/>
      <w:sz w:val="18"/>
    </w:rPr>
  </w:style>
  <w:style w:type="character" w:customStyle="1" w:styleId="EndNoteBibliographyChar">
    <w:name w:val="EndNote Bibliography Char"/>
    <w:basedOn w:val="p1aChar"/>
    <w:link w:val="EndNoteBibliography"/>
    <w:rsid w:val="00703369"/>
    <w:rPr>
      <w:noProof/>
      <w:sz w:val="18"/>
      <w:lang w:val="en-US" w:eastAsia="en-US"/>
    </w:rPr>
  </w:style>
  <w:style w:type="table" w:styleId="TableGrid">
    <w:name w:val="Table Grid"/>
    <w:basedOn w:val="TableNormal"/>
    <w:uiPriority w:val="39"/>
    <w:rsid w:val="00446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B37A81"/>
    <w:pPr>
      <w:spacing w:line="240" w:lineRule="exact"/>
      <w:ind w:firstLine="240"/>
      <w:jc w:val="both"/>
    </w:pPr>
    <w:rPr>
      <w:lang w:val="en-US" w:eastAsia="de-DE"/>
    </w:rPr>
  </w:style>
  <w:style w:type="character" w:customStyle="1" w:styleId="CaptionChar">
    <w:name w:val="Caption Char"/>
    <w:link w:val="Caption"/>
    <w:rsid w:val="00C16A63"/>
    <w:rPr>
      <w:iCs/>
      <w:sz w:val="18"/>
      <w:szCs w:val="18"/>
      <w:lang w:val="en-US" w:eastAsia="en-US"/>
    </w:rPr>
  </w:style>
  <w:style w:type="character" w:customStyle="1" w:styleId="katex-mathml">
    <w:name w:val="katex-mathml"/>
    <w:basedOn w:val="DefaultParagraphFont"/>
    <w:rsid w:val="00717D74"/>
  </w:style>
  <w:style w:type="character" w:customStyle="1" w:styleId="mord">
    <w:name w:val="mord"/>
    <w:basedOn w:val="DefaultParagraphFont"/>
    <w:rsid w:val="00717D74"/>
  </w:style>
  <w:style w:type="character" w:customStyle="1" w:styleId="vlist-s">
    <w:name w:val="vlist-s"/>
    <w:basedOn w:val="DefaultParagraphFont"/>
    <w:rsid w:val="00717D74"/>
  </w:style>
  <w:style w:type="character" w:customStyle="1" w:styleId="mopen">
    <w:name w:val="mopen"/>
    <w:basedOn w:val="DefaultParagraphFont"/>
    <w:rsid w:val="00717D74"/>
  </w:style>
  <w:style w:type="character" w:customStyle="1" w:styleId="mrel">
    <w:name w:val="mrel"/>
    <w:basedOn w:val="DefaultParagraphFont"/>
    <w:rsid w:val="00717D74"/>
  </w:style>
  <w:style w:type="character" w:customStyle="1" w:styleId="mclose">
    <w:name w:val="mclose"/>
    <w:basedOn w:val="DefaultParagraphFont"/>
    <w:rsid w:val="00717D74"/>
  </w:style>
  <w:style w:type="character" w:styleId="Strong">
    <w:name w:val="Strong"/>
    <w:basedOn w:val="DefaultParagraphFont"/>
    <w:uiPriority w:val="22"/>
    <w:qFormat/>
    <w:rsid w:val="00717D74"/>
    <w:rPr>
      <w:b/>
      <w:bCs/>
    </w:rPr>
  </w:style>
  <w:style w:type="character" w:customStyle="1" w:styleId="mpunct">
    <w:name w:val="mpunct"/>
    <w:basedOn w:val="DefaultParagraphFont"/>
    <w:rsid w:val="00F715D5"/>
  </w:style>
  <w:style w:type="character" w:customStyle="1" w:styleId="mbin">
    <w:name w:val="mbin"/>
    <w:basedOn w:val="DefaultParagraphFont"/>
    <w:rsid w:val="00F715D5"/>
  </w:style>
  <w:style w:type="character" w:styleId="CommentReference">
    <w:name w:val="annotation reference"/>
    <w:basedOn w:val="DefaultParagraphFont"/>
    <w:semiHidden/>
    <w:rsid w:val="00251926"/>
    <w:rPr>
      <w:sz w:val="16"/>
      <w:szCs w:val="16"/>
    </w:rPr>
  </w:style>
  <w:style w:type="paragraph" w:styleId="CommentText">
    <w:name w:val="annotation text"/>
    <w:basedOn w:val="Normal"/>
    <w:link w:val="CommentTextChar"/>
    <w:semiHidden/>
    <w:rsid w:val="00251926"/>
    <w:pPr>
      <w:spacing w:line="240" w:lineRule="auto"/>
    </w:pPr>
  </w:style>
  <w:style w:type="character" w:customStyle="1" w:styleId="CommentTextChar">
    <w:name w:val="Comment Text Char"/>
    <w:basedOn w:val="DefaultParagraphFont"/>
    <w:link w:val="CommentText"/>
    <w:semiHidden/>
    <w:rsid w:val="00251926"/>
    <w:rPr>
      <w:lang w:val="en-US" w:eastAsia="en-US"/>
    </w:rPr>
  </w:style>
  <w:style w:type="paragraph" w:styleId="CommentSubject">
    <w:name w:val="annotation subject"/>
    <w:basedOn w:val="CommentText"/>
    <w:next w:val="CommentText"/>
    <w:link w:val="CommentSubjectChar"/>
    <w:semiHidden/>
    <w:rsid w:val="00251926"/>
    <w:rPr>
      <w:b/>
      <w:bCs/>
    </w:rPr>
  </w:style>
  <w:style w:type="character" w:customStyle="1" w:styleId="CommentSubjectChar">
    <w:name w:val="Comment Subject Char"/>
    <w:basedOn w:val="CommentTextChar"/>
    <w:link w:val="CommentSubject"/>
    <w:semiHidden/>
    <w:rsid w:val="00251926"/>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56E21ED707D4E8797E7FB1F2437041E"/>
        <w:category>
          <w:name w:val="General"/>
          <w:gallery w:val="placeholder"/>
        </w:category>
        <w:types>
          <w:type w:val="bbPlcHdr"/>
        </w:types>
        <w:behaviors>
          <w:behavior w:val="content"/>
        </w:behaviors>
        <w:guid w:val="{698532C1-D0CE-44F6-8076-44ACD076A686}"/>
      </w:docPartPr>
      <w:docPartBody>
        <w:p w:rsidR="00642A5E" w:rsidRDefault="00F60BCE" w:rsidP="00F60BCE">
          <w:pPr>
            <w:pStyle w:val="256E21ED707D4E8797E7FB1F2437041E"/>
          </w:pPr>
          <w:r w:rsidRPr="00637D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BCE"/>
    <w:rsid w:val="00642A5E"/>
    <w:rsid w:val="006D6599"/>
    <w:rsid w:val="00CF5F59"/>
    <w:rsid w:val="00F47870"/>
    <w:rsid w:val="00F60B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F60BCE"/>
    <w:rPr>
      <w:color w:val="666666"/>
    </w:rPr>
  </w:style>
  <w:style w:type="paragraph" w:customStyle="1" w:styleId="256E21ED707D4E8797E7FB1F2437041E">
    <w:name w:val="256E21ED707D4E8797E7FB1F2437041E"/>
    <w:rsid w:val="00F60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80BE7-4037-4E0B-ACB6-B6E2A9E9032D}">
  <ds:schemaRefs>
    <ds:schemaRef ds:uri="http://schemas.openxmlformats.org/officeDocument/2006/bibliography"/>
  </ds:schemaRefs>
</ds:datastoreItem>
</file>

<file path=docMetadata/LabelInfo.xml><?xml version="1.0" encoding="utf-8"?>
<clbl:labelList xmlns:clbl="http://schemas.microsoft.com/office/2020/mipLabelMetadata">
  <clbl:label id="{2b7fce66-bf2d-46b5-b59a-9f0018501bcd}" enabled="1" method="Standard" siteId="{f8a213d2-8f6c-400d-9e74-4e8b475316c6}"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15</Pages>
  <Words>9336</Words>
  <Characters>57327</Characters>
  <Application>Microsoft Office Word</Application>
  <DocSecurity>0</DocSecurity>
  <Lines>939</Lines>
  <Paragraphs>258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66405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Alireza Entezami</cp:lastModifiedBy>
  <cp:revision>4</cp:revision>
  <dcterms:created xsi:type="dcterms:W3CDTF">2025-05-17T18:42:00Z</dcterms:created>
  <dcterms:modified xsi:type="dcterms:W3CDTF">2025-05-18T14:39:00Z</dcterms:modified>
</cp:coreProperties>
</file>