
<file path=[Content_Types].xml><?xml version="1.0" encoding="utf-8"?>
<Types xmlns="http://schemas.openxmlformats.org/package/2006/content-types">
  <Default Extension="emf" ContentType="image/x-emf"/>
  <Default Extension="ICO" ContentType="image/.ico"/>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A04E2" w14:textId="62228798" w:rsidR="00E06617" w:rsidRPr="00552219" w:rsidRDefault="00E06617" w:rsidP="00111A83">
      <w:pPr>
        <w:spacing w:after="240" w:line="276" w:lineRule="auto"/>
        <w:jc w:val="center"/>
        <w:rPr>
          <w:rFonts w:cstheme="minorBidi"/>
          <w:b/>
          <w:bCs/>
          <w:sz w:val="28"/>
          <w:szCs w:val="28"/>
        </w:rPr>
      </w:pPr>
      <w:r w:rsidRPr="00552219">
        <w:rPr>
          <w:rFonts w:cstheme="minorBidi"/>
          <w:b/>
          <w:bCs/>
          <w:sz w:val="28"/>
          <w:szCs w:val="28"/>
        </w:rPr>
        <w:t>Dynamic Monitoring of Bridge Structures under Seasonal Temperature Variability by Reconstruction Error-</w:t>
      </w:r>
      <w:r w:rsidR="00060078" w:rsidRPr="00552219">
        <w:rPr>
          <w:rFonts w:cstheme="minorBidi"/>
          <w:b/>
          <w:bCs/>
          <w:sz w:val="28"/>
          <w:szCs w:val="28"/>
        </w:rPr>
        <w:t>based Density</w:t>
      </w:r>
      <w:r w:rsidRPr="00552219">
        <w:rPr>
          <w:rFonts w:cstheme="minorBidi"/>
          <w:b/>
          <w:bCs/>
          <w:sz w:val="28"/>
          <w:szCs w:val="28"/>
        </w:rPr>
        <w:t xml:space="preserve"> Clustering for Anomaly Detection</w:t>
      </w:r>
    </w:p>
    <w:p w14:paraId="68B43D9D" w14:textId="137A06ED" w:rsidR="00E06617" w:rsidRPr="004E2EA7" w:rsidRDefault="00E06617" w:rsidP="00EE426C">
      <w:pPr>
        <w:pStyle w:val="address"/>
        <w:rPr>
          <w:sz w:val="20"/>
          <w:vertAlign w:val="superscript"/>
        </w:rPr>
      </w:pPr>
      <w:r w:rsidRPr="004E2EA7">
        <w:rPr>
          <w:sz w:val="20"/>
        </w:rPr>
        <w:t>Mohammad Omidi Mamaghani</w:t>
      </w:r>
      <w:r w:rsidRPr="004E2EA7">
        <w:rPr>
          <w:sz w:val="20"/>
          <w:vertAlign w:val="superscript"/>
        </w:rPr>
        <w:t>1,2</w:t>
      </w:r>
      <w:r w:rsidRPr="004E2EA7">
        <w:rPr>
          <w:sz w:val="20"/>
        </w:rPr>
        <w:t>, Alireza Entezami</w:t>
      </w:r>
      <w:r w:rsidRPr="004E2EA7">
        <w:rPr>
          <w:sz w:val="20"/>
          <w:vertAlign w:val="superscript"/>
        </w:rPr>
        <w:t>2</w:t>
      </w:r>
      <w:r w:rsidRPr="004E2EA7">
        <w:rPr>
          <w:sz w:val="20"/>
        </w:rPr>
        <w:t>, Alberto Corigliano</w:t>
      </w:r>
      <w:r w:rsidRPr="004E2EA7">
        <w:rPr>
          <w:sz w:val="20"/>
          <w:vertAlign w:val="superscript"/>
        </w:rPr>
        <w:t>2</w:t>
      </w:r>
    </w:p>
    <w:p w14:paraId="376CAB54" w14:textId="77777777" w:rsidR="00E06617" w:rsidRDefault="00E06617" w:rsidP="00EE426C">
      <w:pPr>
        <w:pStyle w:val="address"/>
        <w:rPr>
          <w:vertAlign w:val="superscript"/>
        </w:rPr>
      </w:pPr>
    </w:p>
    <w:p w14:paraId="4419E2DB" w14:textId="77777777" w:rsidR="00E06617" w:rsidRDefault="00E06617" w:rsidP="00E06617">
      <w:pPr>
        <w:pStyle w:val="address"/>
        <w:rPr>
          <w:vertAlign w:val="superscript"/>
        </w:rPr>
      </w:pPr>
      <w:bookmarkStart w:id="0" w:name="OLE_LINK1"/>
      <w:r w:rsidRPr="00166A96">
        <w:rPr>
          <w:vertAlign w:val="superscript"/>
        </w:rPr>
        <w:t>1</w:t>
      </w:r>
      <w:r w:rsidRPr="00166A96">
        <w:t xml:space="preserve"> Department of Thermal and Fluid Engineering, University of Twente, </w:t>
      </w:r>
      <w:proofErr w:type="spellStart"/>
      <w:r w:rsidRPr="00166A96">
        <w:t>Drienerlolaan</w:t>
      </w:r>
      <w:proofErr w:type="spellEnd"/>
      <w:r w:rsidRPr="00166A96">
        <w:t xml:space="preserve"> 5, 7522 NB Enschede, The Netherlands</w:t>
      </w:r>
    </w:p>
    <w:p w14:paraId="3020C211" w14:textId="77777777" w:rsidR="00E06617" w:rsidRDefault="00E06617" w:rsidP="00E06617">
      <w:pPr>
        <w:pStyle w:val="address"/>
      </w:pPr>
      <w:r w:rsidRPr="000B0261">
        <w:rPr>
          <w:vertAlign w:val="superscript"/>
        </w:rPr>
        <w:t>2</w:t>
      </w:r>
      <w:r>
        <w:t xml:space="preserve"> </w:t>
      </w:r>
      <w:r w:rsidRPr="009913E7">
        <w:t xml:space="preserve">Department of Civil and Environmental Engineering, </w:t>
      </w:r>
      <w:proofErr w:type="spellStart"/>
      <w:r w:rsidRPr="009913E7">
        <w:t>Politecnico</w:t>
      </w:r>
      <w:proofErr w:type="spellEnd"/>
      <w:r w:rsidRPr="009913E7">
        <w:t xml:space="preserve"> di Milano, Mila</w:t>
      </w:r>
      <w:r>
        <w:t>n</w:t>
      </w:r>
      <w:r w:rsidRPr="009913E7">
        <w:t xml:space="preserve">, Italy </w:t>
      </w:r>
      <w:bookmarkEnd w:id="0"/>
    </w:p>
    <w:p w14:paraId="73C1C184" w14:textId="5C27EEAA" w:rsidR="00E06617" w:rsidRPr="0007440B" w:rsidRDefault="00E06617" w:rsidP="00E06617">
      <w:pPr>
        <w:pStyle w:val="address"/>
        <w:rPr>
          <w:rFonts w:ascii="Courier" w:hAnsi="Courier"/>
          <w:noProof/>
        </w:rPr>
      </w:pPr>
      <w:r w:rsidRPr="00166A96">
        <w:rPr>
          <w:rStyle w:val="e-mail"/>
        </w:rPr>
        <w:t>m.omidi@utwente.nl</w:t>
      </w:r>
    </w:p>
    <w:p w14:paraId="528905C5" w14:textId="49D4E4E2" w:rsidR="00382277" w:rsidRPr="00EE426C" w:rsidRDefault="009B2539" w:rsidP="00EE426C">
      <w:pPr>
        <w:pStyle w:val="abstract"/>
        <w:spacing w:after="0"/>
        <w:ind w:firstLine="0"/>
      </w:pPr>
      <w:r w:rsidRPr="00EE426C">
        <w:rPr>
          <w:b/>
          <w:bCs/>
        </w:rPr>
        <w:t xml:space="preserve">Abstract. </w:t>
      </w:r>
      <w:r w:rsidR="00CC2329" w:rsidRPr="00B35DA5">
        <w:rPr>
          <w:szCs w:val="24"/>
        </w:rPr>
        <w:t xml:space="preserve">Long-term dynamic monitoring of bridge structures is essential for ensuring their safety and serviceability under varying environmental and operational conditions, particularly </w:t>
      </w:r>
      <w:r w:rsidR="007B16F4">
        <w:rPr>
          <w:szCs w:val="24"/>
        </w:rPr>
        <w:t xml:space="preserve">under </w:t>
      </w:r>
      <w:r w:rsidR="00CC2329" w:rsidRPr="00B35DA5">
        <w:rPr>
          <w:szCs w:val="24"/>
        </w:rPr>
        <w:t xml:space="preserve">seasonal temperature fluctuations. However, distinguishing </w:t>
      </w:r>
      <w:r w:rsidR="007B16F4">
        <w:rPr>
          <w:szCs w:val="24"/>
        </w:rPr>
        <w:t xml:space="preserve">true </w:t>
      </w:r>
      <w:r w:rsidR="00CC2329" w:rsidRPr="00B35DA5">
        <w:rPr>
          <w:szCs w:val="24"/>
        </w:rPr>
        <w:t xml:space="preserve">structural anomalies from such variability patterns remains a </w:t>
      </w:r>
      <w:r w:rsidR="007B16F4">
        <w:rPr>
          <w:szCs w:val="24"/>
        </w:rPr>
        <w:t xml:space="preserve">major </w:t>
      </w:r>
      <w:r w:rsidR="00CC2329" w:rsidRPr="00B35DA5">
        <w:rPr>
          <w:szCs w:val="24"/>
        </w:rPr>
        <w:t>challenge.</w:t>
      </w:r>
      <w:r w:rsidR="00CC2329">
        <w:rPr>
          <w:szCs w:val="24"/>
        </w:rPr>
        <w:t xml:space="preserve"> </w:t>
      </w:r>
      <w:r w:rsidR="00CC2329" w:rsidRPr="00B35DA5">
        <w:rPr>
          <w:szCs w:val="24"/>
        </w:rPr>
        <w:t xml:space="preserve">This paper proposes a novel unsupervised learning </w:t>
      </w:r>
      <w:r w:rsidR="007B16F4">
        <w:rPr>
          <w:szCs w:val="24"/>
        </w:rPr>
        <w:t>framework, termed</w:t>
      </w:r>
      <w:r w:rsidR="00CC2329" w:rsidRPr="00B35DA5">
        <w:rPr>
          <w:szCs w:val="24"/>
        </w:rPr>
        <w:t xml:space="preserve"> Reconstruction Error-based Density Clustering for Anomaly Detection (REDCAN). </w:t>
      </w:r>
      <w:r w:rsidR="007B16F4">
        <w:rPr>
          <w:szCs w:val="24"/>
        </w:rPr>
        <w:t>REDCAN combines a deep</w:t>
      </w:r>
      <w:r w:rsidR="00CC2329" w:rsidRPr="00B35DA5">
        <w:rPr>
          <w:szCs w:val="24"/>
        </w:rPr>
        <w:t xml:space="preserve"> autoencoder with Density-Based Spatial Clustering of Applications with Noise (DBSCAN) to </w:t>
      </w:r>
      <w:r w:rsidR="007B16F4">
        <w:rPr>
          <w:szCs w:val="24"/>
        </w:rPr>
        <w:t xml:space="preserve">improve the robustness and accuracy of anomaly detection. </w:t>
      </w:r>
      <w:r w:rsidR="00CC2329" w:rsidRPr="00B35DA5">
        <w:rPr>
          <w:szCs w:val="24"/>
        </w:rPr>
        <w:t>In the first phase of the REDCAN framework, a deep autoencoder model is developed to reconstruct dynamic responses (modal frequencies), and the resulting reconstruction errors are extracted as normalized features. These reconstruction errors are then clustered using the DBSCAN algorithm, which identifies anomalies based on local density variations in the error space. To enable binary classification, the main hyperparameters of DBSCAN are tuned such that it forms two clusters: one corresponding to the normal condition and the other representing anomalies or damage. The algorithm outputs two labels, -1 and 1, where -1 denotes an anomaly or damaged state, and 1 indicates normal behavior.</w:t>
      </w:r>
      <w:r w:rsidR="00CC2329">
        <w:rPr>
          <w:szCs w:val="24"/>
        </w:rPr>
        <w:t xml:space="preserve"> </w:t>
      </w:r>
      <w:r w:rsidR="00CC2329" w:rsidRPr="00B35DA5">
        <w:rPr>
          <w:szCs w:val="24"/>
        </w:rPr>
        <w:t xml:space="preserve">The major innovation of this study is the introduction of a new application of unsupervised clustering to anomaly detection. In this regard, the anomaly detection task is transformed into a density separation problem </w:t>
      </w:r>
      <w:r w:rsidR="00AB47A7">
        <w:rPr>
          <w:szCs w:val="24"/>
        </w:rPr>
        <w:t>within</w:t>
      </w:r>
      <w:r w:rsidR="00CC2329" w:rsidRPr="00B35DA5">
        <w:rPr>
          <w:szCs w:val="24"/>
        </w:rPr>
        <w:t xml:space="preserve"> reconstruction error space, enabling REDCAN to effectively leverage both the global reconstruction behavior and local density irregularities without relying on handcrafted thresholds or multiple decision layers. The proposed method is validated using the long-term modal frequency dataset of the Z24 bridge, which includes both normal and damaged structural states. Results demonstrate that REDCAN significantly enhances anomaly detection accuracy while maintaining low false alarm rates, even under complex environmental influences.</w:t>
      </w:r>
    </w:p>
    <w:p w14:paraId="6DAF483B" w14:textId="47B92F47" w:rsidR="00382277" w:rsidRPr="00EE426C" w:rsidRDefault="009B2539" w:rsidP="00EE426C">
      <w:pPr>
        <w:pStyle w:val="keywords"/>
      </w:pPr>
      <w:r w:rsidRPr="00EE426C">
        <w:rPr>
          <w:b/>
          <w:bCs/>
        </w:rPr>
        <w:t>Keywords:</w:t>
      </w:r>
      <w:r w:rsidRPr="00EE426C">
        <w:t xml:space="preserve"> </w:t>
      </w:r>
      <w:r w:rsidR="00B23996">
        <w:rPr>
          <w:rFonts w:cstheme="minorBidi"/>
          <w:szCs w:val="24"/>
        </w:rPr>
        <w:t>Structural health monitoring, bridge, modal frequency, temperature variability, unsupervised learning, anomaly detection, clustering</w:t>
      </w:r>
      <w:r>
        <w:t>.</w:t>
      </w:r>
    </w:p>
    <w:p w14:paraId="7872EE53" w14:textId="282B6778" w:rsidR="00382277" w:rsidRDefault="00CC2329" w:rsidP="00C24DEF">
      <w:pPr>
        <w:pStyle w:val="heading1"/>
      </w:pPr>
      <w:r>
        <w:lastRenderedPageBreak/>
        <w:t>Introduction</w:t>
      </w:r>
    </w:p>
    <w:p w14:paraId="7152D02D" w14:textId="5D648239" w:rsidR="00CC2329" w:rsidRDefault="00CC2329" w:rsidP="007C4102">
      <w:pPr>
        <w:ind w:firstLine="0"/>
      </w:pPr>
      <w:r>
        <w:t xml:space="preserve">Long-term dynamic monitoring of civil structures is </w:t>
      </w:r>
      <w:r w:rsidR="00AB47A7">
        <w:t>essential</w:t>
      </w:r>
      <w:r>
        <w:t xml:space="preserve"> for ensuring their structural safety, operational functionality, and economic longevity. Among such structures, bridges are critical components that must withstand both gradual environmental changes and sudden operational anomalies over time. Modal frequencies, as fundamental dynamic characteristics, are highly sensitive indicators of structural changes and potential damage </w:t>
      </w:r>
      <w:r>
        <w:fldChar w:fldCharType="begin"/>
      </w:r>
      <w:r>
        <w:instrText xml:space="preserve"> ADDIN EN.CITE &lt;EndNote&gt;&lt;Cite&gt;&lt;Author&gt;Wang&lt;/Author&gt;&lt;Year&gt;2022&lt;/Year&gt;&lt;RecNum&gt;2173&lt;/RecNum&gt;&lt;DisplayText&gt;[1]&lt;/DisplayText&gt;&lt;record&gt;&lt;rec-number&gt;2173&lt;/rec-number&gt;&lt;foreign-keys&gt;&lt;key app="EN" db-id="ttpsppas4a5wvfea9xr529sw20d5s2r2fsss" timestamp="1670523632"&gt;2173&lt;/key&gt;&lt;/foreign-keys&gt;&lt;ref-type name="Journal Article"&gt;17&lt;/ref-type&gt;&lt;contributors&gt;&lt;authors&gt;&lt;author&gt;Wang, Zhen&lt;/author&gt;&lt;author&gt;Yang, Dong-Hui&lt;/author&gt;&lt;author&gt;Yi, Ting-Hua&lt;/author&gt;&lt;author&gt;Zhang, Guan-Hua&lt;/author&gt;&lt;author&gt;Han, Ji-Gang&lt;/author&gt;&lt;/authors&gt;&lt;/contributors&gt;&lt;titles&gt;&lt;title&gt;Eliminating environmental and operational effects on structural modal frequency: A comprehensive review&lt;/title&gt;&lt;secondary-title&gt;Structural Control and Health Monitoring&lt;/secondary-title&gt;&lt;/titles&gt;&lt;periodical&gt;&lt;full-title&gt;Structural Control and Health Monitoring&lt;/full-title&gt;&lt;abbr-1&gt;Struct. Contr. Health Monit.&lt;/abbr-1&gt;&lt;abbr-2&gt;Struct Contr Health Monit&lt;/abbr-2&gt;&lt;/periodical&gt;&lt;pages&gt;e3073&lt;/pages&gt;&lt;volume&gt;29&lt;/volume&gt;&lt;number&gt;11&lt;/number&gt;&lt;dates&gt;&lt;year&gt;2022&lt;/year&gt;&lt;/dates&gt;&lt;isbn&gt;1545-2255&lt;/isbn&gt;&lt;urls&gt;&lt;related-urls&gt;&lt;url&gt;https://onlinelibrary.wiley.com/doi/abs/10.1002/stc.3073&lt;/url&gt;&lt;/related-urls&gt;&lt;/urls&gt;&lt;electronic-resource-num&gt;https://doi.org/10.1002/stc.3073&lt;/electronic-resource-num&gt;&lt;/record&gt;&lt;/Cite&gt;&lt;/EndNote&gt;</w:instrText>
      </w:r>
      <w:r>
        <w:fldChar w:fldCharType="separate"/>
      </w:r>
      <w:r>
        <w:rPr>
          <w:noProof/>
        </w:rPr>
        <w:t>[1]</w:t>
      </w:r>
      <w:r>
        <w:fldChar w:fldCharType="end"/>
      </w:r>
      <w:r>
        <w:t xml:space="preserve">. Hence, accurate and reliable monitoring of modal frequencies provides valuable insights into the health status of bridges </w:t>
      </w:r>
      <w:r>
        <w:fldChar w:fldCharType="begin">
          <w:fldData xml:space="preserve">PEVuZE5vdGU+PENpdGU+PEF1dGhvcj5FbnRlemFtaTwvQXV0aG9yPjxZZWFyPjIwMjU8L1llYXI+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</w:fldData>
        </w:fldChar>
      </w:r>
      <w:r>
        <w:instrText xml:space="preserve"> ADDIN EN.CITE </w:instrText>
      </w:r>
      <w:r>
        <w:fldChar w:fldCharType="begin">
          <w:fldData xml:space="preserve">PEVuZE5vdGU+PENpdGU+PEF1dGhvcj5FbnRlemFtaTwvQXV0aG9yPjxZZWFyPjIwMjU8L1llYXI+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</w:fldData>
        </w:fldChar>
      </w:r>
      <w:r>
        <w:instrText xml:space="preserve"> ADDIN EN.CITE.DATA </w:instrText>
      </w:r>
      <w:r>
        <w:fldChar w:fldCharType="end"/>
      </w:r>
      <w:r>
        <w:fldChar w:fldCharType="separate"/>
      </w:r>
      <w:r>
        <w:rPr>
          <w:noProof/>
        </w:rPr>
        <w:t>[2, 3]</w:t>
      </w:r>
      <w:r>
        <w:fldChar w:fldCharType="end"/>
      </w:r>
      <w:r>
        <w:t>. However, the variability of environmental and operational conditions often complicates the interpretation of long-term modal frequency data, masking the presence of genuine anomalies or damage-related patterns.</w:t>
      </w:r>
    </w:p>
    <w:p w14:paraId="11094902" w14:textId="30AB81CB" w:rsidR="00CC2329" w:rsidRDefault="00CC2329" w:rsidP="00CC2329">
      <w:r>
        <w:t xml:space="preserve">Despite significant advancements in Structural Health Monitoring (SHM) techniques, traditional finite element or physics-based approaches for damage detection face major challenges when applied to long-term monitoring programs. Moreover, the presence of severe environmental factors such as harsh freezing events, unpredictable operational conditions, and sensor malfunction can induce non-trivial fluctuations in modal frequencies, which </w:t>
      </w:r>
      <w:r w:rsidR="00AB47A7">
        <w:t>are often not captured by</w:t>
      </w:r>
      <w:r>
        <w:t xml:space="preserve"> physics-based solutions. While data-driven methods </w:t>
      </w:r>
      <w:r w:rsidR="00AB47A7">
        <w:t>offer innovative alternatives</w:t>
      </w:r>
      <w:r>
        <w:t xml:space="preserve"> for SHM of civil structures, the impacts of seve</w:t>
      </w:r>
      <w:r w:rsidR="00AB47A7">
        <w:t>re</w:t>
      </w:r>
      <w:r>
        <w:t xml:space="preserve"> environmental and operational conditions still </w:t>
      </w:r>
      <w:r w:rsidR="00AB47A7">
        <w:t>pose</w:t>
      </w:r>
      <w:r>
        <w:t xml:space="preserve"> critical challenges related to false alarm or mis-detection </w:t>
      </w:r>
      <w:r w:rsidRPr="0057033A">
        <w:t>errors</w:t>
      </w:r>
      <w:r w:rsidR="0057033A" w:rsidRPr="0057033A">
        <w:t xml:space="preserve"> [4-6]</w:t>
      </w:r>
      <w:r w:rsidRPr="0057033A">
        <w:t>. False</w:t>
      </w:r>
      <w:r>
        <w:t xml:space="preserve"> alarms may lead to unnecessary inspections, maintenance activities, or service disruptions, imposing additional costs and operational inefficiencies. Conversely, </w:t>
      </w:r>
      <w:proofErr w:type="gramStart"/>
      <w:r>
        <w:t>mis-detections</w:t>
      </w:r>
      <w:proofErr w:type="gramEnd"/>
      <w:r>
        <w:t>, where actual damage is overlooked, pose significant risks to structural safety and public welfare, potentially resulting in catastrophic failures if timely interventions are not made. Therefore, minimizing these errors is essential to ensuring both the economic and safety objectives of SHM programs.</w:t>
      </w:r>
    </w:p>
    <w:p w14:paraId="2C42928B" w14:textId="03DE57DF" w:rsidR="00CC2329" w:rsidRDefault="00CC2329" w:rsidP="00CC2329">
      <w:r>
        <w:t xml:space="preserve">Recently, unsupervised learning-oriented anomaly detection </w:t>
      </w:r>
      <w:r w:rsidR="00AB47A7">
        <w:t xml:space="preserve">methods </w:t>
      </w:r>
      <w:r>
        <w:t>ha</w:t>
      </w:r>
      <w:r w:rsidR="00AB47A7">
        <w:t>ve</w:t>
      </w:r>
      <w:r>
        <w:t xml:space="preserve"> become the main solution for monitoring civil structures </w:t>
      </w:r>
      <w:proofErr w:type="gramStart"/>
      <w:r>
        <w:t>in an effort to</w:t>
      </w:r>
      <w:proofErr w:type="gramEnd"/>
      <w:r>
        <w:t xml:space="preserve"> detect any abnormal behavior. The main objective of this technique is to develop an anomaly detector using unlabeled data and then determine anomaly scores of available data for decision-making. In this context, one needs to estimate a threshold limit to discriminate between the damaged and undamaged conditions </w:t>
      </w:r>
      <w:r>
        <w:fldChar w:fldCharType="begin">
          <w:fldData xml:space="preserve">PEVuZE5vdGU+PENpdGU+PEF1dGhvcj5Xb3JkZW48L0F1dGhvcj48WWVhcj4yMDAyPC9ZZWFyPjxS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</w:fldData>
        </w:fldChar>
      </w:r>
      <w:r>
        <w:instrText xml:space="preserve"> ADDIN EN.CITE </w:instrText>
      </w:r>
      <w:r>
        <w:fldChar w:fldCharType="begin">
          <w:fldData xml:space="preserve">PEVuZE5vdGU+PENpdGU+PEF1dGhvcj5Xb3JkZW48L0F1dGhvcj48WWVhcj4yMDAyPC9ZZWFyPjxS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</w:fldData>
        </w:fldChar>
      </w:r>
      <w:r>
        <w:instrText xml:space="preserve"> ADDIN EN.CITE.DATA </w:instrText>
      </w:r>
      <w:r>
        <w:fldChar w:fldCharType="end"/>
      </w:r>
      <w:r>
        <w:fldChar w:fldCharType="separate"/>
      </w:r>
      <w:r>
        <w:rPr>
          <w:noProof/>
        </w:rPr>
        <w:t>[3-</w:t>
      </w:r>
      <w:r w:rsidR="0057033A">
        <w:rPr>
          <w:noProof/>
        </w:rPr>
        <w:t>8</w:t>
      </w:r>
      <w:r>
        <w:rPr>
          <w:noProof/>
        </w:rPr>
        <w:t>]</w:t>
      </w:r>
      <w:r>
        <w:fldChar w:fldCharType="end"/>
      </w:r>
      <w:r>
        <w:t xml:space="preserve">. However, setting an appropriate threshold is challenging because it often requires additional calibration strategies, </w:t>
      </w:r>
      <w:r w:rsidR="00AB47A7">
        <w:t>depends</w:t>
      </w:r>
      <w:r>
        <w:t xml:space="preserve"> heavily on expert judgment, and is highly sensitive to environmental and operational variability. Improper threshold selection can either trigger excessive false alarms or overlook actual damages, compromising the reliability of the monitoring system. Therefore, threshold-based approaches </w:t>
      </w:r>
      <w:r w:rsidR="00AB47A7">
        <w:t>pose a major</w:t>
      </w:r>
      <w:r>
        <w:t xml:space="preserve"> limitation to achieving fully automated and adaptive SHM anomaly detection.</w:t>
      </w:r>
    </w:p>
    <w:p w14:paraId="10FC968C" w14:textId="1EE05BCB" w:rsidR="00CC2329" w:rsidRDefault="00CC2329" w:rsidP="00CC2329">
      <w:r>
        <w:t xml:space="preserve">The other limitation is that single-model anomaly detection approaches may not always </w:t>
      </w:r>
      <w:r w:rsidR="00AB47A7">
        <w:t xml:space="preserve">be </w:t>
      </w:r>
      <w:r>
        <w:t xml:space="preserve">promising and reliable for SHM under severe environmental variability. Each individual model typically captures only a limited aspect of the data characteristics, making it vulnerable to specific types of errors such as false alarms under environmental variability or missed detections when subtle damage </w:t>
      </w:r>
      <w:proofErr w:type="gramStart"/>
      <w:r w:rsidR="00AB47A7">
        <w:t xml:space="preserve">indicators </w:t>
      </w:r>
      <w:r>
        <w:t xml:space="preserve"> are</w:t>
      </w:r>
      <w:proofErr w:type="gramEnd"/>
      <w:r>
        <w:t xml:space="preserve"> masked by noise. Moreover, a single model assumption such as distributional patterns, reconstruction </w:t>
      </w:r>
      <w:r>
        <w:lastRenderedPageBreak/>
        <w:t xml:space="preserve">capabilities, or density separability may not always hold under real-world conditions, especially in long-term monitoring with highly dynamic and nonlinear influences. To address these limitations, hybrid learning strategies have emerged as a powerful solution by combining the complementary strengths of different models </w:t>
      </w:r>
      <w:r>
        <w:fldChar w:fldCharType="begin"/>
      </w:r>
      <w:r>
        <w:instrText xml:space="preserve"> ADDIN EN.CITE &lt;EndNote&gt;&lt;Cite&gt;&lt;Author&gt;Entezami&lt;/Author&gt;&lt;Year&gt;2023&lt;/Year&gt;&lt;RecNum&gt;2629&lt;/RecNum&gt;&lt;DisplayText&gt;[3]&lt;/DisplayText&gt;&lt;record&gt;&lt;rec-number&gt;2629&lt;/rec-number&gt;&lt;foreign-keys&gt;&lt;key app="EN" db-id="ttpsppas4a5wvfea9xr529sw20d5s2r2fsss" timestamp="1691773876"&gt;2629&lt;/key&gt;&lt;/foreign-keys&gt;&lt;ref-type name="Journal Article"&gt;17&lt;/ref-type&gt;&lt;contributors&gt;&lt;authors&gt;&lt;author&gt;Entezami, Alireza&lt;/author&gt;&lt;author&gt;Sarmadi, Hassan&lt;/author&gt;&lt;author&gt;Behkamal, Bahareh&lt;/author&gt;&lt;/authors&gt;&lt;/contributors&gt;&lt;titles&gt;&lt;title&gt;A novel double-hybrid learning method for modal frequency-based damage assessment of bridge structures under different environmental variation patterns&lt;/title&gt;&lt;secondary-title&gt;Mechanical Systems and Signal Processing&lt;/secondary-title&gt;&lt;/titles&gt;&lt;periodical&gt;&lt;full-title&gt;Mechanical Systems and Signal Processing&lt;/full-title&gt;&lt;abbr-1&gt;Mech. Syst. Sig. Process.&lt;/abbr-1&gt;&lt;abbr-2&gt;Mech Syst Sig Process&lt;/abbr-2&gt;&lt;/periodical&gt;&lt;pages&gt;110676&lt;/pages&gt;&lt;volume&gt;201&lt;/volume&gt;&lt;keywords&gt;&lt;keyword&gt;Structural health monitoring&lt;/keyword&gt;&lt;keyword&gt;Bridge&lt;/keyword&gt;&lt;keyword&gt;Environmental effects&lt;/keyword&gt;&lt;keyword&gt;Modal frequencies&lt;/keyword&gt;&lt;keyword&gt;Hybrid anomaly detection&lt;/keyword&gt;&lt;keyword&gt;Self-adaptive neighbor searching&lt;/keyword&gt;&lt;keyword&gt;Density peaks clustering&lt;/keyword&gt;&lt;keyword&gt;Local outlier factor&lt;/keyword&gt;&lt;/keywords&gt;&lt;dates&gt;&lt;year&gt;2023&lt;/year&gt;&lt;pub-dates&gt;&lt;date&gt;2023/10/15/&lt;/date&gt;&lt;/pub-dates&gt;&lt;/dates&gt;&lt;isbn&gt;0888-3270&lt;/isbn&gt;&lt;urls&gt;&lt;related-urls&gt;&lt;url&gt;https://www.sciencedirect.com/science/article/pii/S0888327023005848&lt;/url&gt;&lt;/related-urls&gt;&lt;/urls&gt;&lt;electronic-resource-num&gt;https://doi.org/10.1016/j.ymssp.2023.110676&lt;/electronic-resource-num&gt;&lt;/record&gt;&lt;/Cite&gt;&lt;/EndNote&gt;</w:instrText>
      </w:r>
      <w:r>
        <w:fldChar w:fldCharType="separate"/>
      </w:r>
      <w:r>
        <w:rPr>
          <w:noProof/>
        </w:rPr>
        <w:t>[3]</w:t>
      </w:r>
      <w:r>
        <w:fldChar w:fldCharType="end"/>
      </w:r>
      <w:r>
        <w:t>. Hybrid unsupervised learning frameworks integrate diverse unsupervised models. Such a multi-perspective approach can significantly improve anomaly detection accuracy, robustness, and adaptability, leading to more reliable decision-making for the health assessment of civil structures.</w:t>
      </w:r>
    </w:p>
    <w:p w14:paraId="23534AB5" w14:textId="449428F5" w:rsidR="003C3143" w:rsidRDefault="00CC2329" w:rsidP="00CC2329">
      <w:r w:rsidRPr="00B35DA5">
        <w:t xml:space="preserve">Therefore, this study proposes a novel unsupervised anomaly detection framework named Reconstruction Error-based Density Clustering for Anomaly Detection (REDCAN) for the long-term dynamic monitoring of bridge structures. The REDCAN method integrates deep learning-based reconstruction with density-based clustering to enhance the robustness and accuracy of anomaly detection under complex environmental and operational variability. In the first phase, a deep autoencoder model is developed and trained to reconstruct the dynamic response data, particularly modal frequencies, collected from bridge monitoring systems. The reconstruction errors produced by the autoencoder are extracted as normalized features that highlight deviations from normal structural behavior. In the second phase, the Density-Based Spatial Clustering of Applications with Noise (DBSCAN) algorithm is applied directly to the reconstruction error space to identify structural anomalies. The DBSCAN parameters are carefully tuned to enforce binary </w:t>
      </w:r>
      <w:r w:rsidR="000F2464">
        <w:t>classification</w:t>
      </w:r>
      <w:r w:rsidRPr="00B35DA5">
        <w:t xml:space="preserve">, where one cluster corresponds to normal structural conditions and the other to anomalies or damage. The final output consists of two cluster labels, -1 and 1, representing anomalous and normal samples, respectively. </w:t>
      </w:r>
    </w:p>
    <w:p w14:paraId="0794D4D1" w14:textId="4881660D" w:rsidR="00672542" w:rsidRPr="00FF6F99" w:rsidRDefault="00CC2329" w:rsidP="00FF6F99">
      <w:r w:rsidRPr="00B35DA5">
        <w:t>The major innovation of REDCAN lies in transforming the anomaly detection task into a density</w:t>
      </w:r>
      <w:r w:rsidR="003C3143">
        <w:t>-based</w:t>
      </w:r>
      <w:r w:rsidRPr="00B35DA5">
        <w:t xml:space="preserve"> separation problem within the reconstruction error domain, thereby avoiding the need for manually set thresholds or multi-layer decision fusion. To validate the effectiveness of the proposed approach, REDCAN is applied to the long-term modal frequency dataset of the Z24 bridge, a well-established benchmark in the SHM community, encompassing both undamaged and damaged structural states. Results demonstrate that REDCAN significantly improves anomaly detection performance while maintaining </w:t>
      </w:r>
      <w:r w:rsidR="003C3143">
        <w:t xml:space="preserve">an extremely </w:t>
      </w:r>
      <w:r w:rsidRPr="00B35DA5">
        <w:t xml:space="preserve">low false alarm rates, highlighting its potential for developing more intelligent, automated SHM solutions for real-world bridge structures. </w:t>
      </w:r>
      <w:r w:rsidR="00672542" w:rsidRPr="002D753A">
        <w:rPr>
          <w:szCs w:val="24"/>
        </w:rPr>
        <w:t>The major contributions of this research can be summarized as follows:</w:t>
      </w:r>
    </w:p>
    <w:p w14:paraId="73B50700" w14:textId="20B6DB52" w:rsidR="00672542" w:rsidRPr="00B23996" w:rsidRDefault="00672542" w:rsidP="00FF6F99">
      <w:pPr>
        <w:pStyle w:val="ListParagraph"/>
        <w:numPr>
          <w:ilvl w:val="0"/>
          <w:numId w:val="10"/>
        </w:numPr>
        <w:spacing w:before="60" w:after="100" w:afterAutospacing="1"/>
        <w:ind w:left="714" w:hanging="357"/>
        <w:rPr>
          <w:rFonts w:ascii="Times New Roman" w:eastAsia="Times New Roman" w:hAnsi="Times New Roman" w:cs="Times New Roman"/>
          <w:sz w:val="20"/>
          <w:szCs w:val="20"/>
        </w:rPr>
      </w:pPr>
      <w:r w:rsidRPr="00B23996">
        <w:rPr>
          <w:rFonts w:ascii="Times New Roman" w:eastAsia="Times New Roman" w:hAnsi="Times New Roman" w:cs="Times New Roman"/>
          <w:sz w:val="20"/>
          <w:szCs w:val="20"/>
        </w:rPr>
        <w:t xml:space="preserve">A novel hybrid anomaly detection approach is developed by combining an autoencoder-based reconstruction error </w:t>
      </w:r>
      <w:r w:rsidR="003C3143">
        <w:rPr>
          <w:rFonts w:ascii="Times New Roman" w:eastAsia="Times New Roman" w:hAnsi="Times New Roman" w:cs="Times New Roman"/>
          <w:sz w:val="20"/>
          <w:szCs w:val="20"/>
        </w:rPr>
        <w:t>features</w:t>
      </w:r>
      <w:r w:rsidRPr="00B23996">
        <w:rPr>
          <w:rFonts w:ascii="Times New Roman" w:eastAsia="Times New Roman" w:hAnsi="Times New Roman" w:cs="Times New Roman"/>
          <w:sz w:val="20"/>
          <w:szCs w:val="20"/>
        </w:rPr>
        <w:t xml:space="preserve"> with DBSCAN clustering, providing a robust mechanism for identifying structural anomalies.</w:t>
      </w:r>
    </w:p>
    <w:p w14:paraId="02DA8A3B" w14:textId="77777777" w:rsidR="00672542" w:rsidRPr="00B23996" w:rsidRDefault="00672542" w:rsidP="00672542">
      <w:pPr>
        <w:pStyle w:val="ListParagraph"/>
        <w:numPr>
          <w:ilvl w:val="0"/>
          <w:numId w:val="10"/>
        </w:numPr>
        <w:spacing w:before="100" w:beforeAutospacing="1" w:after="100" w:afterAutospacing="1"/>
        <w:rPr>
          <w:rFonts w:ascii="Times New Roman" w:eastAsia="Times New Roman" w:hAnsi="Times New Roman" w:cs="Times New Roman"/>
          <w:sz w:val="20"/>
          <w:szCs w:val="20"/>
        </w:rPr>
      </w:pPr>
      <w:r w:rsidRPr="00B23996">
        <w:rPr>
          <w:rFonts w:ascii="Times New Roman" w:eastAsia="Times New Roman" w:hAnsi="Times New Roman" w:cs="Times New Roman"/>
          <w:sz w:val="20"/>
          <w:szCs w:val="20"/>
        </w:rPr>
        <w:t>The proposed framework effectively transforms the anomaly detection task into a density-based clustering problem on the normalized reconstruction error space, addressing the limitations of relying solely on raw data clustering or traditional reconstruction thresholds.</w:t>
      </w:r>
    </w:p>
    <w:p w14:paraId="14F5BD3F" w14:textId="6A8797DE" w:rsidR="00672542" w:rsidRPr="00B23996" w:rsidRDefault="00672542" w:rsidP="00672542">
      <w:pPr>
        <w:pStyle w:val="ListParagraph"/>
        <w:numPr>
          <w:ilvl w:val="0"/>
          <w:numId w:val="10"/>
        </w:numPr>
        <w:spacing w:before="100" w:beforeAutospacing="1" w:after="100" w:afterAutospacing="1"/>
        <w:rPr>
          <w:rFonts w:ascii="Times New Roman" w:eastAsia="Times New Roman" w:hAnsi="Times New Roman" w:cs="Times New Roman"/>
          <w:sz w:val="20"/>
          <w:szCs w:val="20"/>
        </w:rPr>
      </w:pPr>
      <w:r w:rsidRPr="00B23996">
        <w:rPr>
          <w:rFonts w:ascii="Times New Roman" w:eastAsia="Times New Roman" w:hAnsi="Times New Roman" w:cs="Times New Roman"/>
          <w:sz w:val="20"/>
          <w:szCs w:val="20"/>
        </w:rPr>
        <w:t xml:space="preserve">By leveraging the intrinsic density patterns of reconstruction errors, the method enhances detection reliability without </w:t>
      </w:r>
      <w:r w:rsidR="003C3143">
        <w:rPr>
          <w:rFonts w:ascii="Times New Roman" w:eastAsia="Times New Roman" w:hAnsi="Times New Roman" w:cs="Times New Roman"/>
          <w:sz w:val="20"/>
          <w:szCs w:val="20"/>
        </w:rPr>
        <w:t>the need for</w:t>
      </w:r>
      <w:r w:rsidRPr="00B23996">
        <w:rPr>
          <w:rFonts w:ascii="Times New Roman" w:eastAsia="Times New Roman" w:hAnsi="Times New Roman" w:cs="Times New Roman"/>
          <w:sz w:val="20"/>
          <w:szCs w:val="20"/>
        </w:rPr>
        <w:t xml:space="preserve"> handcrafted meta-decision strategies or manual thresholding</w:t>
      </w:r>
      <w:r w:rsidR="003C3143">
        <w:rPr>
          <w:rFonts w:ascii="Times New Roman" w:eastAsia="Times New Roman" w:hAnsi="Times New Roman" w:cs="Times New Roman"/>
          <w:sz w:val="20"/>
          <w:szCs w:val="20"/>
        </w:rPr>
        <w:t>, even</w:t>
      </w:r>
      <w:r w:rsidRPr="00B23996">
        <w:rPr>
          <w:rFonts w:ascii="Times New Roman" w:eastAsia="Times New Roman" w:hAnsi="Times New Roman" w:cs="Times New Roman"/>
          <w:sz w:val="20"/>
          <w:szCs w:val="20"/>
        </w:rPr>
        <w:t xml:space="preserve"> under highly variable environmental conditions.</w:t>
      </w:r>
    </w:p>
    <w:p w14:paraId="5C0889AE" w14:textId="77777777" w:rsidR="00CC2329" w:rsidRPr="00B35DA5" w:rsidRDefault="00CC2329" w:rsidP="00CC2329"/>
    <w:p w14:paraId="76ABF864" w14:textId="307639B6" w:rsidR="00CC2329" w:rsidRPr="00CC2329" w:rsidRDefault="00CC2329" w:rsidP="00CC2329">
      <w:pPr>
        <w:pStyle w:val="p1a"/>
      </w:pPr>
    </w:p>
    <w:p w14:paraId="6C2DDFC2" w14:textId="48F4DAAE" w:rsidR="00382277" w:rsidRPr="006809AE" w:rsidRDefault="00B23996" w:rsidP="00B23996">
      <w:pPr>
        <w:pStyle w:val="heading1"/>
      </w:pPr>
      <w:r>
        <w:t>Proposed REDCAN method</w:t>
      </w:r>
    </w:p>
    <w:p w14:paraId="58247AB2" w14:textId="174E4DD0" w:rsidR="003C3143" w:rsidRDefault="00B23996" w:rsidP="007C4102">
      <w:pPr>
        <w:spacing w:after="120"/>
        <w:ind w:firstLine="0"/>
      </w:pPr>
      <w:bookmarkStart w:id="1" w:name="_Ref467509391"/>
      <w:r w:rsidRPr="00E0609E">
        <w:t>This section presents the developed unsupervised anomaly detection framework</w:t>
      </w:r>
      <w:r>
        <w:t xml:space="preserve"> (</w:t>
      </w:r>
      <w:r w:rsidRPr="00E0609E">
        <w:t>REDCAN</w:t>
      </w:r>
      <w:r>
        <w:t>)</w:t>
      </w:r>
      <w:r w:rsidRPr="00E0609E">
        <w:t>, designed for long-term dynamic monitoring of bridge structures. The proposed method consists of two main stages:</w:t>
      </w:r>
      <w:r>
        <w:t xml:space="preserve"> </w:t>
      </w:r>
    </w:p>
    <w:p w14:paraId="5B20A3BE" w14:textId="0E368645" w:rsidR="003C3143" w:rsidRPr="003C3143" w:rsidRDefault="00B23996" w:rsidP="00FF6F99">
      <w:pPr>
        <w:pStyle w:val="ListParagraph"/>
        <w:numPr>
          <w:ilvl w:val="0"/>
          <w:numId w:val="16"/>
        </w:numPr>
        <w:spacing w:after="60"/>
        <w:ind w:left="584" w:hanging="357"/>
        <w:rPr>
          <w:rFonts w:ascii="Times New Roman" w:eastAsia="Times New Roman" w:hAnsi="Times New Roman" w:cs="Times New Roman"/>
          <w:sz w:val="20"/>
          <w:szCs w:val="20"/>
        </w:rPr>
      </w:pPr>
      <w:r w:rsidRPr="003C3143">
        <w:rPr>
          <w:rFonts w:ascii="Times New Roman" w:eastAsia="Times New Roman" w:hAnsi="Times New Roman" w:cs="Times New Roman"/>
          <w:sz w:val="20"/>
          <w:szCs w:val="20"/>
        </w:rPr>
        <w:t xml:space="preserve">reconstruction-based feature normalization using a deep autoencoder, and </w:t>
      </w:r>
    </w:p>
    <w:p w14:paraId="71AF8CEF" w14:textId="4B2EFA2F" w:rsidR="00B23996" w:rsidRPr="003C3143" w:rsidRDefault="00B23996" w:rsidP="003C3143">
      <w:pPr>
        <w:pStyle w:val="ListParagraph"/>
        <w:numPr>
          <w:ilvl w:val="0"/>
          <w:numId w:val="16"/>
        </w:numPr>
        <w:rPr>
          <w:rFonts w:ascii="Times New Roman" w:eastAsia="Times New Roman" w:hAnsi="Times New Roman" w:cs="Times New Roman"/>
          <w:sz w:val="20"/>
          <w:szCs w:val="20"/>
        </w:rPr>
      </w:pPr>
      <w:r w:rsidRPr="003C3143">
        <w:rPr>
          <w:rFonts w:ascii="Times New Roman" w:eastAsia="Times New Roman" w:hAnsi="Times New Roman" w:cs="Times New Roman"/>
          <w:sz w:val="20"/>
          <w:szCs w:val="20"/>
        </w:rPr>
        <w:t>density-based clustering using DBSCAN applied to the reconstruction error space for anomaly detection.</w:t>
      </w:r>
    </w:p>
    <w:p w14:paraId="4D6A503D" w14:textId="6F207FCC" w:rsidR="00B23996" w:rsidRDefault="00B23996" w:rsidP="00FF6F99">
      <w:r w:rsidRPr="00E0609E">
        <w:t xml:space="preserve">Let </w:t>
      </w:r>
      <w:proofErr w:type="spellStart"/>
      <w:r w:rsidRPr="00E0609E">
        <w:rPr>
          <w:b/>
          <w:bCs/>
        </w:rPr>
        <w:t>X</w:t>
      </w:r>
      <w:r w:rsidRPr="00E0609E">
        <w:rPr>
          <w:rFonts w:ascii="Cambria Math" w:hAnsi="Cambria Math" w:cs="Cambria Math"/>
        </w:rPr>
        <w:t>∈</w:t>
      </w:r>
      <w:r>
        <w:rPr>
          <w:rFonts w:ascii="Cambria Math" w:hAnsi="Cambria Math"/>
        </w:rPr>
        <w:t>ℜ</w:t>
      </w:r>
      <w:r w:rsidRPr="00E0609E">
        <w:rPr>
          <w:i/>
          <w:iCs/>
          <w:vertAlign w:val="superscript"/>
        </w:rPr>
        <w:t>n</w:t>
      </w:r>
      <w:r w:rsidRPr="00E0609E">
        <w:rPr>
          <w:vertAlign w:val="superscript"/>
        </w:rPr>
        <w:t>×</w:t>
      </w:r>
      <w:r w:rsidRPr="00E0609E">
        <w:rPr>
          <w:i/>
          <w:iCs/>
          <w:vertAlign w:val="superscript"/>
        </w:rPr>
        <w:t>p</w:t>
      </w:r>
      <w:proofErr w:type="spellEnd"/>
      <w:r w:rsidRPr="00E0609E">
        <w:rPr>
          <w:vertAlign w:val="superscript"/>
        </w:rPr>
        <w:t xml:space="preserve"> </w:t>
      </w:r>
      <w:r w:rsidRPr="00E0609E">
        <w:t xml:space="preserve">and </w:t>
      </w:r>
      <w:proofErr w:type="spellStart"/>
      <w:r>
        <w:rPr>
          <w:b/>
          <w:bCs/>
        </w:rPr>
        <w:t>Z</w:t>
      </w:r>
      <w:r w:rsidRPr="00E0609E">
        <w:rPr>
          <w:rFonts w:ascii="Cambria Math" w:hAnsi="Cambria Math" w:cs="Cambria Math"/>
        </w:rPr>
        <w:t>∈</w:t>
      </w:r>
      <w:r>
        <w:rPr>
          <w:rFonts w:ascii="Cambria Math" w:hAnsi="Cambria Math"/>
        </w:rPr>
        <w:t>ℜ</w:t>
      </w:r>
      <w:r>
        <w:rPr>
          <w:i/>
          <w:iCs/>
          <w:vertAlign w:val="superscript"/>
        </w:rPr>
        <w:t>m</w:t>
      </w:r>
      <w:r w:rsidRPr="00E0609E">
        <w:rPr>
          <w:vertAlign w:val="superscript"/>
        </w:rPr>
        <w:t>×</w:t>
      </w:r>
      <w:r w:rsidRPr="00E0609E">
        <w:rPr>
          <w:i/>
          <w:iCs/>
          <w:vertAlign w:val="superscript"/>
        </w:rPr>
        <w:t>p</w:t>
      </w:r>
      <w:proofErr w:type="spellEnd"/>
      <w:r w:rsidRPr="00E0609E">
        <w:t xml:space="preserve"> </w:t>
      </w:r>
      <w:proofErr w:type="gramStart"/>
      <w:r w:rsidRPr="00E0609E">
        <w:t>denote</w:t>
      </w:r>
      <w:proofErr w:type="gramEnd"/>
      <w:r w:rsidRPr="00E0609E">
        <w:t xml:space="preserve"> the training and testing datasets, respectively, where </w:t>
      </w:r>
      <w:r w:rsidRPr="00E0609E">
        <w:rPr>
          <w:i/>
          <w:iCs/>
        </w:rPr>
        <w:t>n</w:t>
      </w:r>
      <w:r w:rsidRPr="00E0609E">
        <w:t xml:space="preserve"> and </w:t>
      </w:r>
      <w:r w:rsidRPr="00E0609E">
        <w:rPr>
          <w:i/>
          <w:iCs/>
        </w:rPr>
        <w:t>m</w:t>
      </w:r>
      <w:r w:rsidRPr="00E0609E">
        <w:t xml:space="preserve"> represent the number of observations (time samples), and </w:t>
      </w:r>
      <w:r w:rsidRPr="00E0609E">
        <w:rPr>
          <w:i/>
          <w:iCs/>
        </w:rPr>
        <w:t>p</w:t>
      </w:r>
      <w:r w:rsidRPr="00E0609E">
        <w:t xml:space="preserve"> is the number of measured vibration modes. These datasets consist of long-term modal frequency records that are highly influenced by environmental variability, particularly temperature. The central assumption is that environmental effects, especially seasonal freezing</w:t>
      </w:r>
      <w:r w:rsidR="003C3143">
        <w:t xml:space="preserve"> events</w:t>
      </w:r>
      <w:r w:rsidRPr="00E0609E">
        <w:t>, cause temporary yet significant increases in modal frequencies, which can obscure or mimic actual structural anomalies.</w:t>
      </w:r>
      <w:r>
        <w:t xml:space="preserve"> </w:t>
      </w:r>
      <w:r w:rsidRPr="00E0609E">
        <w:t>The objective of the proposed REDCAN method is to eliminate the influence of environmental variability and isolate true structural anomalies</w:t>
      </w:r>
      <w:r>
        <w:t xml:space="preserve">, </w:t>
      </w:r>
      <w:r w:rsidRPr="00E0609E">
        <w:t>such as damage or degradation</w:t>
      </w:r>
      <w:r>
        <w:t xml:space="preserve">, </w:t>
      </w:r>
      <w:r w:rsidRPr="00E0609E">
        <w:t>by first encoding normal behavior via reconstruction, and then detecting abnormal conditions through topological clustering in the normalized error domain.</w:t>
      </w:r>
    </w:p>
    <w:p w14:paraId="6085A5F7" w14:textId="77777777" w:rsidR="00B23996" w:rsidRDefault="00B23996" w:rsidP="00B23996">
      <w:pPr>
        <w:pStyle w:val="heading2"/>
      </w:pPr>
      <w:r w:rsidRPr="002D753A">
        <w:t>Autoencoder-Based Reconstruction Error</w:t>
      </w:r>
    </w:p>
    <w:p w14:paraId="6AD00967" w14:textId="6E5DDF56" w:rsidR="00B23996" w:rsidRDefault="00B23996" w:rsidP="007C4102">
      <w:pPr>
        <w:ind w:firstLine="0"/>
      </w:pPr>
      <w:r w:rsidRPr="00C521C2">
        <w:t>Autoencoders</w:t>
      </w:r>
      <w:r>
        <w:t xml:space="preserve"> are a class of unsupervised neural networks designed to learn compressed representations of input data </w:t>
      </w:r>
      <w:r>
        <w:fldChar w:fldCharType="begin"/>
      </w:r>
      <w:r>
        <w:instrText xml:space="preserve"> ADDIN EN.CITE &lt;EndNote&gt;&lt;Cite&gt;&lt;Author&gt;Dong&lt;/Author&gt;&lt;Year&gt;2018&lt;/Year&gt;&lt;RecNum&gt;2072&lt;/RecNum&gt;&lt;DisplayText&gt;[6]&lt;/DisplayText&gt;&lt;record&gt;&lt;rec-number&gt;2072&lt;/rec-number&gt;&lt;foreign-keys&gt;&lt;key app="EN" db-id="ttpsppas4a5wvfea9xr529sw20d5s2r2fsss" timestamp="1662798482"&gt;2072&lt;/key&gt;&lt;/foreign-keys&gt;&lt;ref-type name="Journal Article"&gt;17&lt;/ref-type&gt;&lt;contributors&gt;&lt;authors&gt;&lt;author&gt;G. Dong&lt;/author&gt;&lt;author&gt;G. Liao&lt;/author&gt;&lt;author&gt;H. Liu&lt;/author&gt;&lt;author&gt;G. Kuang&lt;/author&gt;&lt;/authors&gt;&lt;/contributors&gt;&lt;titles&gt;&lt;title&gt;A Review of the autoencoder and its variants: A comparative perspective from target recognition in synthetic-aperture radar images&lt;/title&gt;&lt;secondary-title&gt;IEEE Geoscience and Remote Sensing Magazine&lt;/secondary-title&gt;&lt;/titles&gt;&lt;pages&gt;44-68&lt;/pages&gt;&lt;volume&gt;6&lt;/volume&gt;&lt;number&gt;3&lt;/number&gt;&lt;dates&gt;&lt;year&gt;2018&lt;/year&gt;&lt;/dates&gt;&lt;isbn&gt;2168-6831&lt;/isbn&gt;&lt;urls&gt;&lt;related-urls&gt;&lt;url&gt;https://ieeexplore.ieee.org/document/8474425&lt;/url&gt;&lt;/related-urls&gt;&lt;/urls&gt;&lt;electronic-resource-num&gt;https://doi.org/10.1109/MGRS.2018.2853555&lt;/electronic-resource-num&gt;&lt;/record&gt;&lt;/Cite&gt;&lt;/EndNote&gt;</w:instrText>
      </w:r>
      <w:r>
        <w:fldChar w:fldCharType="separate"/>
      </w:r>
      <w:r>
        <w:rPr>
          <w:noProof/>
        </w:rPr>
        <w:t>[</w:t>
      </w:r>
      <w:r w:rsidR="0057033A">
        <w:rPr>
          <w:noProof/>
        </w:rPr>
        <w:t>9</w:t>
      </w:r>
      <w:r>
        <w:rPr>
          <w:noProof/>
        </w:rPr>
        <w:t>]</w:t>
      </w:r>
      <w:r>
        <w:fldChar w:fldCharType="end"/>
      </w:r>
      <w:r>
        <w:t xml:space="preserve">. They consist of two main components: an encoder, which maps the input data into a lower-dimensional latent space, and a decoder, which reconstructs the input from this latent representation. The network is trained to minimize the difference between the original input and its reconstruction, typically using a mean squared error </w:t>
      </w:r>
      <w:r w:rsidR="003C3143">
        <w:t xml:space="preserve">(MSE) </w:t>
      </w:r>
      <w:r>
        <w:t>loss function.</w:t>
      </w:r>
    </w:p>
    <w:p w14:paraId="4A05A63C" w14:textId="55885FCB" w:rsidR="00B23996" w:rsidRPr="002D753A" w:rsidRDefault="003C3143" w:rsidP="00B23996">
      <w:r>
        <w:t>As</w:t>
      </w:r>
      <w:r w:rsidR="00B23996" w:rsidRPr="002D753A">
        <w:t xml:space="preserve"> the first phase of the proposed </w:t>
      </w:r>
      <w:r w:rsidR="00B23996">
        <w:t>REDCAN</w:t>
      </w:r>
      <w:r w:rsidR="00B23996" w:rsidRPr="002D753A">
        <w:t xml:space="preserve"> method, </w:t>
      </w:r>
      <w:r w:rsidR="00B23996">
        <w:t>a</w:t>
      </w:r>
      <w:r w:rsidR="00B23996" w:rsidRPr="00862FB7">
        <w:t xml:space="preserve">n autoencoder is trained to reconstruct the training data </w:t>
      </w:r>
      <w:r w:rsidR="00B23996" w:rsidRPr="00862FB7">
        <w:rPr>
          <w:b/>
          <w:bCs/>
        </w:rPr>
        <w:t>X</w:t>
      </w:r>
      <w:r w:rsidR="00B23996" w:rsidRPr="00862FB7">
        <w:t>.</w:t>
      </w:r>
      <w:r w:rsidR="00B23996">
        <w:t xml:space="preserve"> </w:t>
      </w:r>
      <w:r w:rsidR="00B23996" w:rsidRPr="00862FB7">
        <w:t xml:space="preserve">The encoder </w:t>
      </w:r>
      <w:proofErr w:type="spellStart"/>
      <w:r w:rsidR="00B23996" w:rsidRPr="00862FB7">
        <w:rPr>
          <w:i/>
          <w:iCs/>
        </w:rPr>
        <w:t>f</w:t>
      </w:r>
      <w:r w:rsidR="00B23996" w:rsidRPr="00862FB7">
        <w:rPr>
          <w:i/>
          <w:iCs/>
          <w:vertAlign w:val="subscript"/>
        </w:rPr>
        <w:t>θ</w:t>
      </w:r>
      <w:proofErr w:type="spellEnd"/>
      <w:r w:rsidR="00B23996" w:rsidRPr="002D753A">
        <w:t xml:space="preserve"> </w:t>
      </w:r>
      <w:r w:rsidR="00B23996" w:rsidRPr="00862FB7">
        <w:t xml:space="preserve">​ maps </w:t>
      </w:r>
      <w:r w:rsidR="00B23996" w:rsidRPr="002D753A">
        <w:t xml:space="preserve">each feature vector in X, i.e., </w:t>
      </w:r>
      <w:r w:rsidR="00B23996" w:rsidRPr="002D753A">
        <w:rPr>
          <w:b/>
          <w:bCs/>
        </w:rPr>
        <w:t>x</w:t>
      </w:r>
      <w:r w:rsidR="00B23996" w:rsidRPr="002D753A">
        <w:rPr>
          <w:i/>
          <w:iCs/>
          <w:vertAlign w:val="subscript"/>
        </w:rPr>
        <w:t>i</w:t>
      </w:r>
      <w:r w:rsidR="00B23996" w:rsidRPr="002D753A">
        <w:t xml:space="preserve">, where </w:t>
      </w:r>
      <w:proofErr w:type="spellStart"/>
      <w:r w:rsidR="00B23996" w:rsidRPr="002D753A">
        <w:rPr>
          <w:i/>
          <w:iCs/>
        </w:rPr>
        <w:t>i</w:t>
      </w:r>
      <w:proofErr w:type="spellEnd"/>
      <w:r w:rsidR="00B23996" w:rsidRPr="002D753A">
        <w:t>=</w:t>
      </w:r>
      <w:proofErr w:type="gramStart"/>
      <w:r w:rsidR="00B23996" w:rsidRPr="002D753A">
        <w:t>1,…</w:t>
      </w:r>
      <w:proofErr w:type="gramEnd"/>
      <w:r w:rsidR="00B23996" w:rsidRPr="002D753A">
        <w:t>,</w:t>
      </w:r>
      <w:r w:rsidR="00B23996" w:rsidRPr="002D753A">
        <w:rPr>
          <w:i/>
          <w:iCs/>
        </w:rPr>
        <w:t>n</w:t>
      </w:r>
      <w:r w:rsidR="00B23996" w:rsidRPr="002D753A">
        <w:t xml:space="preserve">, </w:t>
      </w:r>
      <w:r w:rsidR="00B23996" w:rsidRPr="00862FB7">
        <w:t xml:space="preserve">into latent space </w:t>
      </w:r>
      <w:r w:rsidR="00B23996" w:rsidRPr="00862FB7">
        <w:rPr>
          <w:b/>
          <w:bCs/>
        </w:rPr>
        <w:t>h</w:t>
      </w:r>
      <w:r w:rsidR="00B23996" w:rsidRPr="00862FB7">
        <w:rPr>
          <w:i/>
          <w:iCs/>
          <w:vertAlign w:val="subscript"/>
        </w:rPr>
        <w:t>i</w:t>
      </w:r>
      <w:r w:rsidR="00B23996" w:rsidRPr="002D753A">
        <w:t xml:space="preserve"> in the following form: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
        <w:gridCol w:w="4277"/>
        <w:gridCol w:w="1309"/>
      </w:tblGrid>
      <w:tr w:rsidR="00B23996" w:rsidRPr="002D753A" w14:paraId="30B386DD" w14:textId="77777777" w:rsidTr="003B3EF6">
        <w:trPr>
          <w:trHeight w:val="227"/>
          <w:jc w:val="center"/>
        </w:trPr>
        <w:tc>
          <w:tcPr>
            <w:tcW w:w="1838" w:type="dxa"/>
            <w:vAlign w:val="center"/>
          </w:tcPr>
          <w:p w14:paraId="55C72257" w14:textId="77777777" w:rsidR="00B23996" w:rsidRPr="002D753A" w:rsidRDefault="00B23996" w:rsidP="00B23996">
            <w:pPr>
              <w:rPr>
                <w:sz w:val="24"/>
                <w:szCs w:val="24"/>
              </w:rPr>
            </w:pPr>
          </w:p>
        </w:tc>
        <w:tc>
          <w:tcPr>
            <w:tcW w:w="5812" w:type="dxa"/>
            <w:vAlign w:val="center"/>
          </w:tcPr>
          <w:p w14:paraId="537D3593" w14:textId="118C3EB7" w:rsidR="00B23996" w:rsidRPr="00B23996" w:rsidRDefault="00000000" w:rsidP="00B23996">
            <w:pPr>
              <w:pStyle w:val="equation"/>
              <w:rPr>
                <w:rFonts w:ascii="Times New Roman" w:eastAsia="Times New Roman" w:hAnsi="Times New Roman" w:cs="Times New Roman"/>
                <w:iCs/>
                <w:sz w:val="20"/>
                <w:szCs w:val="20"/>
              </w:rPr>
            </w:pPr>
            <m:oMathPara>
              <m:oMath>
                <m:sSub>
                  <m:sSubPr>
                    <m:ctrlPr>
                      <w:rPr>
                        <w:rFonts w:ascii="Cambria Math" w:eastAsia="Times New Roman" w:hAnsi="Cambria Math" w:cs="Times New Roman"/>
                        <w:iCs/>
                        <w:sz w:val="20"/>
                        <w:szCs w:val="20"/>
                      </w:rPr>
                    </m:ctrlPr>
                  </m:sSubPr>
                  <m:e>
                    <m:r>
                      <m:rPr>
                        <m:sty m:val="b"/>
                      </m:rPr>
                      <w:rPr>
                        <w:rFonts w:ascii="Cambria Math" w:eastAsia="Times New Roman" w:hAnsi="Cambria Math" w:cs="Times New Roman"/>
                        <w:sz w:val="20"/>
                        <w:szCs w:val="20"/>
                      </w:rPr>
                      <m:t>h</m:t>
                    </m:r>
                  </m:e>
                  <m:sub>
                    <m:r>
                      <m:rPr>
                        <m:sty m:val="p"/>
                      </m:rPr>
                      <w:rPr>
                        <w:rFonts w:ascii="Cambria Math" w:eastAsia="Times New Roman" w:hAnsi="Cambria Math" w:cs="Times New Roman"/>
                        <w:sz w:val="20"/>
                        <w:szCs w:val="20"/>
                      </w:rPr>
                      <m:t>i</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iCs/>
                        <w:sz w:val="20"/>
                        <w:szCs w:val="20"/>
                      </w:rPr>
                    </m:ctrlPr>
                  </m:sSubPr>
                  <m:e>
                    <m:r>
                      <m:rPr>
                        <m:sty m:val="p"/>
                      </m:rPr>
                      <w:rPr>
                        <w:rFonts w:ascii="Cambria Math" w:eastAsia="Times New Roman" w:hAnsi="Cambria Math" w:cs="Times New Roman"/>
                        <w:sz w:val="20"/>
                        <w:szCs w:val="20"/>
                      </w:rPr>
                      <m:t>f</m:t>
                    </m:r>
                  </m:e>
                  <m:sub>
                    <m:r>
                      <m:rPr>
                        <m:sty m:val="p"/>
                      </m:rPr>
                      <w:rPr>
                        <w:rFonts w:ascii="Cambria Math" w:eastAsia="Times New Roman" w:hAnsi="Cambria Math" w:cs="Times New Roman"/>
                        <w:sz w:val="20"/>
                        <w:szCs w:val="20"/>
                      </w:rPr>
                      <m:t>θ</m:t>
                    </m:r>
                  </m:sub>
                </m:sSub>
                <m:d>
                  <m:dPr>
                    <m:ctrlPr>
                      <w:rPr>
                        <w:rFonts w:ascii="Cambria Math" w:eastAsia="Times New Roman" w:hAnsi="Cambria Math" w:cs="Times New Roman"/>
                        <w:iCs/>
                        <w:sz w:val="20"/>
                        <w:szCs w:val="20"/>
                      </w:rPr>
                    </m:ctrlPr>
                  </m:dPr>
                  <m:e>
                    <m:sSub>
                      <m:sSubPr>
                        <m:ctrlPr>
                          <w:rPr>
                            <w:rFonts w:ascii="Cambria Math" w:eastAsia="Times New Roman" w:hAnsi="Cambria Math" w:cs="Times New Roman"/>
                            <w:iCs/>
                            <w:sz w:val="20"/>
                            <w:szCs w:val="20"/>
                          </w:rPr>
                        </m:ctrlPr>
                      </m:sSubPr>
                      <m:e>
                        <m:r>
                          <m:rPr>
                            <m:sty m:val="b"/>
                          </m:rPr>
                          <w:rPr>
                            <w:rFonts w:ascii="Cambria Math" w:eastAsia="Times New Roman" w:hAnsi="Cambria Math" w:cs="Times New Roman"/>
                            <w:sz w:val="20"/>
                            <w:szCs w:val="20"/>
                          </w:rPr>
                          <m:t>x</m:t>
                        </m:r>
                      </m:e>
                      <m:sub>
                        <m:r>
                          <m:rPr>
                            <m:sty m:val="p"/>
                          </m:rPr>
                          <w:rPr>
                            <w:rFonts w:ascii="Cambria Math" w:eastAsia="Times New Roman" w:hAnsi="Cambria Math" w:cs="Times New Roman"/>
                            <w:sz w:val="20"/>
                            <w:szCs w:val="20"/>
                          </w:rPr>
                          <m:t>i</m:t>
                        </m:r>
                      </m:sub>
                    </m:sSub>
                  </m:e>
                </m:d>
              </m:oMath>
            </m:oMathPara>
          </w:p>
        </w:tc>
        <w:tc>
          <w:tcPr>
            <w:tcW w:w="1700" w:type="dxa"/>
            <w:vAlign w:val="center"/>
          </w:tcPr>
          <w:p w14:paraId="057D3DAB" w14:textId="5942189A" w:rsidR="00B23996" w:rsidRPr="00B23996" w:rsidRDefault="00B23996" w:rsidP="00B23996">
            <w:pPr>
              <w:pStyle w:val="equation"/>
              <w:jc w:val="right"/>
              <w:rPr>
                <w:rFonts w:ascii="Times New Roman" w:eastAsia="Times New Roman" w:hAnsi="Times New Roman" w:cs="Times New Roman"/>
                <w:iCs/>
                <w:sz w:val="20"/>
                <w:szCs w:val="20"/>
              </w:rPr>
            </w:pPr>
            <w:r w:rsidRPr="00B23996">
              <w:rPr>
                <w:rFonts w:ascii="Times New Roman" w:eastAsia="Times New Roman" w:hAnsi="Times New Roman" w:cs="Times New Roman"/>
                <w:iCs/>
                <w:sz w:val="20"/>
                <w:szCs w:val="20"/>
              </w:rPr>
              <w:t>(</w:t>
            </w:r>
            <w:r w:rsidRPr="00B23996">
              <w:rPr>
                <w:iCs/>
              </w:rPr>
              <w:fldChar w:fldCharType="begin"/>
            </w:r>
            <w:r w:rsidRPr="00B23996">
              <w:rPr>
                <w:rFonts w:ascii="Times New Roman" w:eastAsia="Times New Roman" w:hAnsi="Times New Roman" w:cs="Times New Roman"/>
                <w:iCs/>
                <w:sz w:val="20"/>
                <w:szCs w:val="20"/>
              </w:rPr>
              <w:instrText xml:space="preserve"> SEQ Equation \* ARABIC </w:instrText>
            </w:r>
            <w:r w:rsidRPr="00B23996">
              <w:rPr>
                <w:iCs/>
              </w:rPr>
              <w:fldChar w:fldCharType="separate"/>
            </w:r>
            <w:r w:rsidR="0070376B">
              <w:rPr>
                <w:rFonts w:ascii="Times New Roman" w:eastAsia="Times New Roman" w:hAnsi="Times New Roman" w:cs="Times New Roman"/>
                <w:iCs/>
                <w:noProof/>
                <w:sz w:val="20"/>
                <w:szCs w:val="20"/>
              </w:rPr>
              <w:t>1</w:t>
            </w:r>
            <w:r w:rsidRPr="00B23996">
              <w:rPr>
                <w:iCs/>
              </w:rPr>
              <w:fldChar w:fldCharType="end"/>
            </w:r>
            <w:r w:rsidRPr="00B23996">
              <w:rPr>
                <w:rFonts w:ascii="Times New Roman" w:eastAsia="Times New Roman" w:hAnsi="Times New Roman" w:cs="Times New Roman"/>
                <w:iCs/>
                <w:sz w:val="20"/>
                <w:szCs w:val="20"/>
              </w:rPr>
              <w:t>)</w:t>
            </w:r>
          </w:p>
        </w:tc>
      </w:tr>
    </w:tbl>
    <w:p w14:paraId="72499989" w14:textId="0B62782D" w:rsidR="00B23996" w:rsidRPr="002D753A" w:rsidRDefault="00B23996" w:rsidP="00B23996">
      <w:r w:rsidRPr="002D753A">
        <w:t xml:space="preserve">Using </w:t>
      </w:r>
      <w:r w:rsidR="003C3143">
        <w:t>this latent representation</w:t>
      </w:r>
      <w:r w:rsidRPr="002D753A">
        <w:t xml:space="preserve">, the autoencoder runs the decoder </w:t>
      </w:r>
      <w:proofErr w:type="spellStart"/>
      <w:r w:rsidRPr="002D753A">
        <w:rPr>
          <w:i/>
          <w:iCs/>
        </w:rPr>
        <w:t>g</w:t>
      </w:r>
      <w:r w:rsidRPr="002D753A">
        <w:rPr>
          <w:i/>
          <w:iCs/>
          <w:vertAlign w:val="subscript"/>
        </w:rPr>
        <w:t>φ</w:t>
      </w:r>
      <w:proofErr w:type="spellEnd"/>
      <w:r w:rsidRPr="002D753A">
        <w:t xml:space="preserve"> to reconstruct the input data (</w:t>
      </w:r>
      <m:oMath>
        <m:sSub>
          <m:sSubPr>
            <m:ctrlPr>
              <w:rPr>
                <w:rFonts w:ascii="Cambria Math" w:hAnsi="Cambria Math"/>
                <w:i/>
              </w:rPr>
            </m:ctrlPr>
          </m:sSubPr>
          <m:e>
            <m:acc>
              <m:accPr>
                <m:ctrlPr>
                  <w:rPr>
                    <w:rFonts w:ascii="Cambria Math" w:hAnsi="Cambria Math"/>
                    <w:i/>
                  </w:rPr>
                </m:ctrlPr>
              </m:accPr>
              <m:e>
                <m:r>
                  <m:rPr>
                    <m:sty m:val="b"/>
                  </m:rPr>
                  <w:rPr>
                    <w:rFonts w:ascii="Cambria Math" w:hAnsi="Cambria Math"/>
                  </w:rPr>
                  <m:t>x</m:t>
                </m:r>
              </m:e>
            </m:acc>
          </m:e>
          <m:sub>
            <m:r>
              <w:rPr>
                <w:rFonts w:ascii="Cambria Math" w:hAnsi="Cambria Math"/>
              </w:rPr>
              <m:t>i</m:t>
            </m:r>
          </m:sub>
        </m:sSub>
      </m:oMath>
      <w:r w:rsidRPr="002D753A">
        <w:t>)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4242"/>
        <w:gridCol w:w="1366"/>
      </w:tblGrid>
      <w:tr w:rsidR="00B23996" w:rsidRPr="002D753A" w14:paraId="0ABE78D6" w14:textId="77777777" w:rsidTr="003B3EF6">
        <w:trPr>
          <w:trHeight w:val="227"/>
          <w:jc w:val="center"/>
        </w:trPr>
        <w:tc>
          <w:tcPr>
            <w:tcW w:w="1838" w:type="dxa"/>
            <w:vAlign w:val="center"/>
          </w:tcPr>
          <w:p w14:paraId="0C940107" w14:textId="77777777" w:rsidR="00B23996" w:rsidRPr="002D753A" w:rsidRDefault="00B23996" w:rsidP="00B23996">
            <w:pPr>
              <w:rPr>
                <w:sz w:val="24"/>
                <w:szCs w:val="24"/>
              </w:rPr>
            </w:pPr>
          </w:p>
        </w:tc>
        <w:tc>
          <w:tcPr>
            <w:tcW w:w="5812" w:type="dxa"/>
            <w:vAlign w:val="center"/>
          </w:tcPr>
          <w:p w14:paraId="24F81E5F" w14:textId="77777777" w:rsidR="00B23996" w:rsidRPr="002D753A" w:rsidRDefault="00000000" w:rsidP="00B23996">
            <w:pPr>
              <w:pStyle w:val="equation"/>
              <w:rPr>
                <w:sz w:val="24"/>
                <w:szCs w:val="24"/>
              </w:rPr>
            </w:pPr>
            <m:oMathPara>
              <m:oMath>
                <m:sSub>
                  <m:sSubPr>
                    <m:ctrlPr>
                      <w:rPr>
                        <w:rFonts w:ascii="Cambria Math" w:eastAsia="Times New Roman" w:hAnsi="Cambria Math" w:cs="Times New Roman"/>
                        <w:iCs/>
                        <w:sz w:val="20"/>
                        <w:szCs w:val="20"/>
                      </w:rPr>
                    </m:ctrlPr>
                  </m:sSubPr>
                  <m:e>
                    <m:acc>
                      <m:accPr>
                        <m:ctrlPr>
                          <w:rPr>
                            <w:rFonts w:ascii="Cambria Math" w:eastAsia="Times New Roman" w:hAnsi="Cambria Math" w:cs="Times New Roman"/>
                            <w:iCs/>
                            <w:sz w:val="20"/>
                            <w:szCs w:val="20"/>
                          </w:rPr>
                        </m:ctrlPr>
                      </m:accPr>
                      <m:e>
                        <m:r>
                          <m:rPr>
                            <m:sty m:val="b"/>
                          </m:rPr>
                          <w:rPr>
                            <w:rFonts w:ascii="Cambria Math" w:eastAsia="Times New Roman" w:hAnsi="Cambria Math" w:cs="Times New Roman"/>
                            <w:sz w:val="20"/>
                            <w:szCs w:val="20"/>
                          </w:rPr>
                          <m:t>x</m:t>
                        </m:r>
                      </m:e>
                    </m:acc>
                  </m:e>
                  <m:sub>
                    <m:r>
                      <w:rPr>
                        <w:rFonts w:ascii="Cambria Math" w:eastAsia="Times New Roman" w:hAnsi="Cambria Math" w:cs="Times New Roman"/>
                        <w:sz w:val="20"/>
                        <w:szCs w:val="20"/>
                      </w:rPr>
                      <m:t>i</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iCs/>
                        <w:sz w:val="20"/>
                        <w:szCs w:val="20"/>
                      </w:rPr>
                    </m:ctrlPr>
                  </m:sSubPr>
                  <m:e>
                    <m:r>
                      <w:rPr>
                        <w:rFonts w:ascii="Cambria Math" w:eastAsia="Times New Roman" w:hAnsi="Cambria Math" w:cs="Times New Roman"/>
                        <w:sz w:val="20"/>
                        <w:szCs w:val="20"/>
                      </w:rPr>
                      <m:t>g</m:t>
                    </m:r>
                  </m:e>
                  <m:sub>
                    <m:r>
                      <w:rPr>
                        <w:rFonts w:ascii="Cambria Math" w:eastAsia="Times New Roman" w:hAnsi="Cambria Math" w:cs="Times New Roman"/>
                        <w:sz w:val="20"/>
                        <w:szCs w:val="20"/>
                      </w:rPr>
                      <m:t>φ</m:t>
                    </m:r>
                  </m:sub>
                </m:sSub>
                <m:d>
                  <m:dPr>
                    <m:ctrlPr>
                      <w:rPr>
                        <w:rFonts w:ascii="Cambria Math" w:eastAsia="Times New Roman" w:hAnsi="Cambria Math" w:cs="Times New Roman"/>
                        <w:iCs/>
                        <w:sz w:val="20"/>
                        <w:szCs w:val="20"/>
                      </w:rPr>
                    </m:ctrlPr>
                  </m:dPr>
                  <m:e>
                    <m:sSub>
                      <m:sSubPr>
                        <m:ctrlPr>
                          <w:rPr>
                            <w:rFonts w:ascii="Cambria Math" w:eastAsia="Times New Roman" w:hAnsi="Cambria Math" w:cs="Times New Roman"/>
                            <w:iCs/>
                            <w:sz w:val="20"/>
                            <w:szCs w:val="20"/>
                          </w:rPr>
                        </m:ctrlPr>
                      </m:sSubPr>
                      <m:e>
                        <m:r>
                          <m:rPr>
                            <m:sty m:val="b"/>
                          </m:rPr>
                          <w:rPr>
                            <w:rFonts w:ascii="Cambria Math" w:eastAsia="Times New Roman" w:hAnsi="Cambria Math" w:cs="Times New Roman"/>
                            <w:sz w:val="20"/>
                            <w:szCs w:val="20"/>
                          </w:rPr>
                          <m:t>h</m:t>
                        </m:r>
                      </m:e>
                      <m:sub>
                        <m:r>
                          <w:rPr>
                            <w:rFonts w:ascii="Cambria Math" w:eastAsia="Times New Roman" w:hAnsi="Cambria Math" w:cs="Times New Roman"/>
                            <w:sz w:val="20"/>
                            <w:szCs w:val="20"/>
                          </w:rPr>
                          <m:t>i</m:t>
                        </m:r>
                      </m:sub>
                    </m:sSub>
                  </m:e>
                </m:d>
              </m:oMath>
            </m:oMathPara>
          </w:p>
        </w:tc>
        <w:tc>
          <w:tcPr>
            <w:tcW w:w="1700" w:type="dxa"/>
            <w:vAlign w:val="center"/>
          </w:tcPr>
          <w:p w14:paraId="5DB1D829" w14:textId="7FC6FBA8" w:rsidR="00B23996" w:rsidRPr="00B23996" w:rsidRDefault="00B23996" w:rsidP="00B23996">
            <w:pPr>
              <w:jc w:val="right"/>
              <w:rPr>
                <w:rFonts w:ascii="Times New Roman" w:hAnsi="Times New Roman" w:cs="Times New Roman"/>
                <w:sz w:val="20"/>
                <w:szCs w:val="20"/>
              </w:rPr>
            </w:pPr>
            <w:r w:rsidRPr="00B23996">
              <w:rPr>
                <w:rFonts w:ascii="Times New Roman" w:hAnsi="Times New Roman" w:cs="Times New Roman"/>
                <w:sz w:val="20"/>
                <w:szCs w:val="20"/>
              </w:rPr>
              <w:t>(</w:t>
            </w:r>
            <w:r w:rsidRPr="00B23996">
              <w:rPr>
                <w:iCs/>
              </w:rPr>
              <w:fldChar w:fldCharType="begin"/>
            </w:r>
            <w:r w:rsidRPr="00B23996">
              <w:rPr>
                <w:rFonts w:ascii="Times New Roman" w:eastAsia="Times New Roman" w:hAnsi="Times New Roman" w:cs="Times New Roman"/>
                <w:iCs/>
                <w:sz w:val="20"/>
                <w:szCs w:val="20"/>
              </w:rPr>
              <w:instrText xml:space="preserve"> SEQ Equation \* ARABIC </w:instrText>
            </w:r>
            <w:r w:rsidRPr="00B23996">
              <w:rPr>
                <w:iCs/>
              </w:rPr>
              <w:fldChar w:fldCharType="separate"/>
            </w:r>
            <w:r w:rsidR="0070376B">
              <w:rPr>
                <w:rFonts w:ascii="Times New Roman" w:eastAsia="Times New Roman" w:hAnsi="Times New Roman" w:cs="Times New Roman"/>
                <w:iCs/>
                <w:noProof/>
                <w:sz w:val="20"/>
                <w:szCs w:val="20"/>
              </w:rPr>
              <w:t>2</w:t>
            </w:r>
            <w:r w:rsidRPr="00B23996">
              <w:rPr>
                <w:iCs/>
              </w:rPr>
              <w:fldChar w:fldCharType="end"/>
            </w:r>
            <w:r w:rsidRPr="00B23996">
              <w:rPr>
                <w:rFonts w:ascii="Times New Roman" w:eastAsia="Times New Roman" w:hAnsi="Times New Roman" w:cs="Times New Roman"/>
                <w:iCs/>
                <w:sz w:val="20"/>
                <w:szCs w:val="20"/>
              </w:rPr>
              <w:t>)</w:t>
            </w:r>
          </w:p>
        </w:tc>
      </w:tr>
    </w:tbl>
    <w:p w14:paraId="482E5859" w14:textId="4EDB48AC" w:rsidR="00B23996" w:rsidRPr="002D753A" w:rsidRDefault="00B23996" w:rsidP="00B23996">
      <w:r w:rsidRPr="002D753A">
        <w:t xml:space="preserve">For this procedure, </w:t>
      </w:r>
      <w:r w:rsidR="00DE0FE8">
        <w:t>the</w:t>
      </w:r>
      <w:r w:rsidR="003C3143">
        <w:t xml:space="preserve"> autoencoder minimizes the reconstruction loss using the MSE loss function</w:t>
      </w:r>
      <w:r w:rsidRPr="002D753A">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4252"/>
        <w:gridCol w:w="1362"/>
      </w:tblGrid>
      <w:tr w:rsidR="00B23996" w:rsidRPr="00B23996" w14:paraId="09D9426F" w14:textId="77777777" w:rsidTr="003B3EF6">
        <w:trPr>
          <w:trHeight w:val="227"/>
          <w:jc w:val="center"/>
        </w:trPr>
        <w:tc>
          <w:tcPr>
            <w:tcW w:w="1838" w:type="dxa"/>
            <w:vAlign w:val="center"/>
          </w:tcPr>
          <w:p w14:paraId="3500276C" w14:textId="77777777" w:rsidR="00B23996" w:rsidRPr="002D753A" w:rsidRDefault="00B23996" w:rsidP="00B23996">
            <w:pPr>
              <w:rPr>
                <w:sz w:val="24"/>
                <w:szCs w:val="24"/>
              </w:rPr>
            </w:pPr>
          </w:p>
        </w:tc>
        <w:tc>
          <w:tcPr>
            <w:tcW w:w="5812" w:type="dxa"/>
            <w:vAlign w:val="center"/>
          </w:tcPr>
          <w:p w14:paraId="61F532F3" w14:textId="77777777" w:rsidR="00B23996" w:rsidRPr="002D753A" w:rsidRDefault="00B23996" w:rsidP="00B23996">
            <w:pPr>
              <w:rPr>
                <w:sz w:val="24"/>
                <w:szCs w:val="24"/>
              </w:rPr>
            </w:pPr>
            <m:oMathPara>
              <m:oMath>
                <m:r>
                  <m:rPr>
                    <m:scr m:val="script"/>
                    <m:sty m:val="p"/>
                  </m:rPr>
                  <w:rPr>
                    <w:rFonts w:ascii="Cambria Math" w:eastAsia="Times New Roman" w:hAnsi="Cambria Math" w:cs="Times New Roman"/>
                    <w:sz w:val="20"/>
                    <w:szCs w:val="20"/>
                  </w:rPr>
                  <m:t>L</m:t>
                </m:r>
                <m:d>
                  <m:dPr>
                    <m:ctrlPr>
                      <w:rPr>
                        <w:rFonts w:ascii="Cambria Math" w:eastAsia="Times New Roman" w:hAnsi="Cambria Math" w:cs="Times New Roman"/>
                        <w:iCs/>
                        <w:sz w:val="20"/>
                        <w:szCs w:val="20"/>
                      </w:rPr>
                    </m:ctrlPr>
                  </m:dPr>
                  <m:e>
                    <m:r>
                      <w:rPr>
                        <w:rFonts w:ascii="Cambria Math" w:eastAsia="Times New Roman" w:hAnsi="Cambria Math" w:cs="Times New Roman"/>
                        <w:sz w:val="20"/>
                        <w:szCs w:val="20"/>
                      </w:rPr>
                      <m:t>θ</m:t>
                    </m:r>
                    <m:r>
                      <m:rPr>
                        <m:sty m:val="p"/>
                      </m:rPr>
                      <w:rPr>
                        <w:rFonts w:ascii="Cambria Math" w:eastAsia="Times New Roman" w:hAnsi="Cambria Math" w:cs="Times New Roman"/>
                        <w:sz w:val="20"/>
                        <w:szCs w:val="20"/>
                      </w:rPr>
                      <m:t>,</m:t>
                    </m:r>
                    <m:r>
                      <w:rPr>
                        <w:rFonts w:ascii="Cambria Math" w:eastAsia="Times New Roman" w:hAnsi="Cambria Math" w:cs="Times New Roman"/>
                        <w:sz w:val="20"/>
                        <w:szCs w:val="20"/>
                      </w:rPr>
                      <m:t>φ</m:t>
                    </m:r>
                  </m:e>
                </m:d>
                <m:r>
                  <m:rPr>
                    <m:sty m:val="p"/>
                  </m:rPr>
                  <w:rPr>
                    <w:rFonts w:ascii="Cambria Math" w:eastAsia="Times New Roman" w:hAnsi="Cambria Math" w:cs="Times New Roman"/>
                    <w:sz w:val="20"/>
                    <w:szCs w:val="20"/>
                  </w:rPr>
                  <m:t>=</m:t>
                </m:r>
                <m:f>
                  <m:fPr>
                    <m:ctrlPr>
                      <w:rPr>
                        <w:rFonts w:ascii="Cambria Math" w:eastAsia="Times New Roman" w:hAnsi="Cambria Math" w:cs="Times New Roman"/>
                        <w:iCs/>
                        <w:sz w:val="20"/>
                        <w:szCs w:val="20"/>
                      </w:rPr>
                    </m:ctrlPr>
                  </m:fPr>
                  <m:num>
                    <m:r>
                      <m:rPr>
                        <m:sty m:val="p"/>
                      </m:rPr>
                      <w:rPr>
                        <w:rFonts w:ascii="Cambria Math" w:eastAsia="Times New Roman" w:hAnsi="Cambria Math" w:cs="Times New Roman"/>
                        <w:sz w:val="20"/>
                        <w:szCs w:val="20"/>
                      </w:rPr>
                      <m:t>1</m:t>
                    </m:r>
                  </m:num>
                  <m:den>
                    <m:r>
                      <w:rPr>
                        <w:rFonts w:ascii="Cambria Math" w:eastAsia="Times New Roman" w:hAnsi="Cambria Math" w:cs="Times New Roman"/>
                        <w:sz w:val="20"/>
                        <w:szCs w:val="20"/>
                      </w:rPr>
                      <m:t>n</m:t>
                    </m:r>
                  </m:den>
                </m:f>
                <m:nary>
                  <m:naryPr>
                    <m:chr m:val="∑"/>
                    <m:limLoc m:val="undOvr"/>
                    <m:ctrlPr>
                      <w:rPr>
                        <w:rFonts w:ascii="Cambria Math" w:eastAsia="Times New Roman" w:hAnsi="Cambria Math" w:cs="Times New Roman"/>
                        <w:iCs/>
                        <w:sz w:val="20"/>
                        <w:szCs w:val="20"/>
                      </w:rPr>
                    </m:ctrlPr>
                  </m:naryPr>
                  <m:sub>
                    <m:r>
                      <w:rPr>
                        <w:rFonts w:ascii="Cambria Math" w:eastAsia="Times New Roman" w:hAnsi="Cambria Math" w:cs="Times New Roman"/>
                        <w:sz w:val="20"/>
                        <w:szCs w:val="20"/>
                      </w:rPr>
                      <m:t>i</m:t>
                    </m:r>
                    <m:r>
                      <m:rPr>
                        <m:sty m:val="p"/>
                      </m:rPr>
                      <w:rPr>
                        <w:rFonts w:ascii="Cambria Math" w:eastAsia="Times New Roman" w:hAnsi="Cambria Math" w:cs="Times New Roman"/>
                        <w:sz w:val="20"/>
                        <w:szCs w:val="20"/>
                      </w:rPr>
                      <m:t>=1</m:t>
                    </m:r>
                  </m:sub>
                  <m:sup>
                    <m:r>
                      <w:rPr>
                        <w:rFonts w:ascii="Cambria Math" w:eastAsia="Times New Roman" w:hAnsi="Cambria Math" w:cs="Times New Roman"/>
                        <w:sz w:val="20"/>
                        <w:szCs w:val="20"/>
                      </w:rPr>
                      <m:t>n</m:t>
                    </m:r>
                  </m:sup>
                  <m:e>
                    <m:sSup>
                      <m:sSupPr>
                        <m:ctrlPr>
                          <w:rPr>
                            <w:rFonts w:ascii="Cambria Math" w:eastAsia="Times New Roman" w:hAnsi="Cambria Math" w:cs="Times New Roman"/>
                            <w:iCs/>
                            <w:sz w:val="20"/>
                            <w:szCs w:val="20"/>
                          </w:rPr>
                        </m:ctrlPr>
                      </m:sSupPr>
                      <m:e>
                        <m:d>
                          <m:dPr>
                            <m:ctrlPr>
                              <w:rPr>
                                <w:rFonts w:ascii="Cambria Math" w:eastAsia="Times New Roman" w:hAnsi="Cambria Math" w:cs="Times New Roman"/>
                                <w:iCs/>
                                <w:sz w:val="20"/>
                                <w:szCs w:val="20"/>
                              </w:rPr>
                            </m:ctrlPr>
                          </m:dPr>
                          <m:e>
                            <m:sSub>
                              <m:sSubPr>
                                <m:ctrlPr>
                                  <w:rPr>
                                    <w:rFonts w:ascii="Cambria Math" w:eastAsia="Times New Roman" w:hAnsi="Cambria Math" w:cs="Times New Roman"/>
                                    <w:iCs/>
                                    <w:sz w:val="20"/>
                                    <w:szCs w:val="20"/>
                                  </w:rPr>
                                </m:ctrlPr>
                              </m:sSubPr>
                              <m:e>
                                <m:r>
                                  <m:rPr>
                                    <m:sty m:val="b"/>
                                  </m:rPr>
                                  <w:rPr>
                                    <w:rFonts w:ascii="Cambria Math" w:eastAsia="Times New Roman" w:hAnsi="Cambria Math" w:cs="Times New Roman"/>
                                    <w:sz w:val="20"/>
                                    <w:szCs w:val="20"/>
                                  </w:rPr>
                                  <m:t>x</m:t>
                                </m:r>
                              </m:e>
                              <m:sub>
                                <m:r>
                                  <w:rPr>
                                    <w:rFonts w:ascii="Cambria Math" w:eastAsia="Times New Roman" w:hAnsi="Cambria Math" w:cs="Times New Roman"/>
                                    <w:sz w:val="20"/>
                                    <w:szCs w:val="20"/>
                                  </w:rPr>
                                  <m:t>i</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iCs/>
                                    <w:sz w:val="20"/>
                                    <w:szCs w:val="20"/>
                                  </w:rPr>
                                </m:ctrlPr>
                              </m:sSubPr>
                              <m:e>
                                <m:acc>
                                  <m:accPr>
                                    <m:ctrlPr>
                                      <w:rPr>
                                        <w:rFonts w:ascii="Cambria Math" w:eastAsia="Times New Roman" w:hAnsi="Cambria Math" w:cs="Times New Roman"/>
                                        <w:iCs/>
                                        <w:sz w:val="20"/>
                                        <w:szCs w:val="20"/>
                                      </w:rPr>
                                    </m:ctrlPr>
                                  </m:accPr>
                                  <m:e>
                                    <m:r>
                                      <m:rPr>
                                        <m:sty m:val="b"/>
                                      </m:rPr>
                                      <w:rPr>
                                        <w:rFonts w:ascii="Cambria Math" w:eastAsia="Times New Roman" w:hAnsi="Cambria Math" w:cs="Times New Roman"/>
                                        <w:sz w:val="20"/>
                                        <w:szCs w:val="20"/>
                                      </w:rPr>
                                      <m:t>x</m:t>
                                    </m:r>
                                  </m:e>
                                </m:acc>
                              </m:e>
                              <m:sub>
                                <m:r>
                                  <w:rPr>
                                    <w:rFonts w:ascii="Cambria Math" w:eastAsia="Times New Roman" w:hAnsi="Cambria Math" w:cs="Times New Roman"/>
                                    <w:sz w:val="20"/>
                                    <w:szCs w:val="20"/>
                                  </w:rPr>
                                  <m:t>i</m:t>
                                </m:r>
                              </m:sub>
                            </m:sSub>
                          </m:e>
                        </m:d>
                      </m:e>
                      <m:sup>
                        <m:r>
                          <m:rPr>
                            <m:sty m:val="p"/>
                          </m:rPr>
                          <w:rPr>
                            <w:rFonts w:ascii="Cambria Math" w:eastAsia="Times New Roman" w:hAnsi="Cambria Math" w:cs="Times New Roman"/>
                            <w:sz w:val="20"/>
                            <w:szCs w:val="20"/>
                          </w:rPr>
                          <m:t>2</m:t>
                        </m:r>
                      </m:sup>
                    </m:sSup>
                  </m:e>
                </m:nary>
              </m:oMath>
            </m:oMathPara>
          </w:p>
        </w:tc>
        <w:tc>
          <w:tcPr>
            <w:tcW w:w="1700" w:type="dxa"/>
            <w:vAlign w:val="center"/>
          </w:tcPr>
          <w:p w14:paraId="16B07084" w14:textId="636301A1" w:rsidR="00B23996" w:rsidRPr="00B23996" w:rsidRDefault="00B23996" w:rsidP="00B23996">
            <w:pPr>
              <w:jc w:val="right"/>
              <w:rPr>
                <w:rFonts w:ascii="Times New Roman" w:hAnsi="Times New Roman" w:cs="Times New Roman"/>
                <w:sz w:val="20"/>
                <w:szCs w:val="20"/>
              </w:rPr>
            </w:pPr>
            <w:r w:rsidRPr="00B23996">
              <w:rPr>
                <w:rFonts w:ascii="Times New Roman" w:hAnsi="Times New Roman" w:cs="Times New Roman"/>
                <w:sz w:val="20"/>
                <w:szCs w:val="20"/>
              </w:rPr>
              <w:t>(</w:t>
            </w:r>
            <w:r w:rsidRPr="00B23996">
              <w:fldChar w:fldCharType="begin"/>
            </w:r>
            <w:r w:rsidRPr="00B23996">
              <w:rPr>
                <w:rFonts w:ascii="Times New Roman" w:hAnsi="Times New Roman" w:cs="Times New Roman"/>
                <w:sz w:val="20"/>
                <w:szCs w:val="20"/>
              </w:rPr>
              <w:instrText xml:space="preserve"> SEQ Equation \* ARABIC </w:instrText>
            </w:r>
            <w:r w:rsidRPr="00B23996">
              <w:fldChar w:fldCharType="separate"/>
            </w:r>
            <w:r w:rsidR="0070376B">
              <w:rPr>
                <w:rFonts w:ascii="Times New Roman" w:hAnsi="Times New Roman" w:cs="Times New Roman"/>
                <w:noProof/>
                <w:sz w:val="20"/>
                <w:szCs w:val="20"/>
              </w:rPr>
              <w:t>3</w:t>
            </w:r>
            <w:r w:rsidRPr="00B23996">
              <w:fldChar w:fldCharType="end"/>
            </w:r>
            <w:r w:rsidRPr="00B23996">
              <w:rPr>
                <w:rFonts w:ascii="Times New Roman" w:hAnsi="Times New Roman" w:cs="Times New Roman"/>
                <w:sz w:val="20"/>
                <w:szCs w:val="20"/>
              </w:rPr>
              <w:t>)</w:t>
            </w:r>
          </w:p>
        </w:tc>
      </w:tr>
    </w:tbl>
    <w:p w14:paraId="6ED664ED" w14:textId="6F3C7362" w:rsidR="00B23996" w:rsidRDefault="00B23996" w:rsidP="00B23996">
      <w:r w:rsidRPr="002D753A">
        <w:t>This strategy is carried out in a feedforward configuration. In this context, the training process of the autoencoder depends on the hidden layers of encoding and decoding as well as the neuron sizes of these layers. Inspired by Entezami et al. [</w:t>
      </w:r>
      <w:r w:rsidR="0057033A">
        <w:t>12</w:t>
      </w:r>
      <w:r w:rsidRPr="002D753A">
        <w:t xml:space="preserve">], the autoencoder </w:t>
      </w:r>
      <w:r w:rsidR="003C3143">
        <w:t>composed</w:t>
      </w:r>
      <w:r w:rsidRPr="002D753A">
        <w:t xml:space="preserve"> of three hidden layers</w:t>
      </w:r>
      <w:r w:rsidR="003C3143">
        <w:t xml:space="preserve">: </w:t>
      </w:r>
      <w:r w:rsidR="003C3143">
        <w:rPr>
          <w:szCs w:val="24"/>
        </w:rPr>
        <w:t>the</w:t>
      </w:r>
      <w:r w:rsidR="003C3143" w:rsidRPr="002D753A">
        <w:rPr>
          <w:szCs w:val="24"/>
        </w:rPr>
        <w:t xml:space="preserve"> encoding </w:t>
      </w:r>
      <w:r w:rsidR="003C3143">
        <w:rPr>
          <w:szCs w:val="24"/>
        </w:rPr>
        <w:t>(</w:t>
      </w:r>
      <w:r w:rsidR="003C3143" w:rsidRPr="002D753A">
        <w:rPr>
          <w:szCs w:val="24"/>
        </w:rPr>
        <w:t>mapping</w:t>
      </w:r>
      <w:r w:rsidR="003C3143">
        <w:rPr>
          <w:szCs w:val="24"/>
        </w:rPr>
        <w:t>)</w:t>
      </w:r>
      <w:r w:rsidR="003C3143" w:rsidRPr="002D753A">
        <w:rPr>
          <w:szCs w:val="24"/>
        </w:rPr>
        <w:t xml:space="preserve">, bottleneck, and decoding </w:t>
      </w:r>
      <w:r w:rsidR="003C3143">
        <w:rPr>
          <w:szCs w:val="24"/>
        </w:rPr>
        <w:t>(</w:t>
      </w:r>
      <w:r w:rsidR="003C3143" w:rsidRPr="002D753A">
        <w:rPr>
          <w:szCs w:val="24"/>
        </w:rPr>
        <w:t>de-mapping</w:t>
      </w:r>
      <w:r w:rsidR="003C3143">
        <w:rPr>
          <w:szCs w:val="24"/>
        </w:rPr>
        <w:t>)</w:t>
      </w:r>
      <w:r w:rsidR="003C3143" w:rsidRPr="002D753A">
        <w:rPr>
          <w:szCs w:val="24"/>
        </w:rPr>
        <w:t xml:space="preserve"> layers with 10, 2, and 10</w:t>
      </w:r>
      <w:r w:rsidR="003C3143">
        <w:rPr>
          <w:szCs w:val="24"/>
        </w:rPr>
        <w:t xml:space="preserve"> </w:t>
      </w:r>
      <w:r w:rsidR="003C3143" w:rsidRPr="00E2748E">
        <w:rPr>
          <w:szCs w:val="24"/>
        </w:rPr>
        <w:t>neurons</w:t>
      </w:r>
      <w:r w:rsidR="003C3143" w:rsidRPr="002D753A">
        <w:rPr>
          <w:szCs w:val="24"/>
        </w:rPr>
        <w:t>, respectively.</w:t>
      </w:r>
      <w:r w:rsidR="00723E67" w:rsidRPr="00723E67">
        <w:t xml:space="preserve"> </w:t>
      </w:r>
      <w:r w:rsidR="00723E67" w:rsidRPr="00723E67">
        <w:rPr>
          <w:szCs w:val="24"/>
        </w:rPr>
        <w:t xml:space="preserve">The complete architecture is illustrated in </w:t>
      </w:r>
      <w:r w:rsidR="00723E67" w:rsidRPr="00723E67">
        <w:rPr>
          <w:b/>
          <w:bCs/>
          <w:szCs w:val="24"/>
        </w:rPr>
        <w:t>Fig. 1</w:t>
      </w:r>
      <w:r w:rsidR="00723E67" w:rsidRPr="00723E67">
        <w:rPr>
          <w:szCs w:val="24"/>
        </w:rPr>
        <w:t>.</w:t>
      </w:r>
    </w:p>
    <w:p w14:paraId="34978849" w14:textId="77777777" w:rsidR="000D075E" w:rsidRDefault="000D075E" w:rsidP="00B23996"/>
    <w:p w14:paraId="1C0031E6" w14:textId="652B104E" w:rsidR="000D075E" w:rsidRDefault="000D075E" w:rsidP="000D075E">
      <w:pPr>
        <w:jc w:val="center"/>
      </w:pPr>
      <w:r>
        <w:rPr>
          <w:noProof/>
        </w:rPr>
        <w:drawing>
          <wp:inline distT="0" distB="0" distL="0" distR="0" wp14:anchorId="401D6F61" wp14:editId="0A98D951">
            <wp:extent cx="2520000" cy="2034307"/>
            <wp:effectExtent l="0" t="0" r="0" b="4445"/>
            <wp:docPr id="1508595011" name="Picture 1508595011" descr="A diagram of a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95011" name="Picture 1508595011" descr="A diagram of a code&#10;&#10;AI-generated content may be incorrect."/>
                    <pic:cNvPicPr/>
                  </pic:nvPicPr>
                  <pic:blipFill>
                    <a:blip r:embed="rId7"/>
                    <a:stretch>
                      <a:fillRect/>
                    </a:stretch>
                  </pic:blipFill>
                  <pic:spPr>
                    <a:xfrm>
                      <a:off x="0" y="0"/>
                      <a:ext cx="2520000" cy="2034307"/>
                    </a:xfrm>
                    <a:prstGeom prst="rect">
                      <a:avLst/>
                    </a:prstGeom>
                  </pic:spPr>
                </pic:pic>
              </a:graphicData>
            </a:graphic>
          </wp:inline>
        </w:drawing>
      </w:r>
    </w:p>
    <w:p w14:paraId="783BA392" w14:textId="72E344F0" w:rsidR="000D075E" w:rsidRPr="000D075E" w:rsidRDefault="000D075E" w:rsidP="007D393A">
      <w:pPr>
        <w:pStyle w:val="Caption"/>
        <w:jc w:val="both"/>
        <w:rPr>
          <w:rFonts w:eastAsia="Times New Roman"/>
          <w:sz w:val="18"/>
          <w:szCs w:val="20"/>
        </w:rPr>
      </w:pPr>
      <w:r w:rsidRPr="007D393A">
        <w:rPr>
          <w:rFonts w:eastAsia="Times New Roman"/>
          <w:b/>
          <w:bCs/>
          <w:sz w:val="18"/>
          <w:szCs w:val="20"/>
        </w:rPr>
        <w:t xml:space="preserve">Fig. </w:t>
      </w:r>
      <w:r w:rsidRPr="007D393A">
        <w:rPr>
          <w:rFonts w:eastAsia="Times New Roman"/>
          <w:b/>
          <w:bCs/>
          <w:sz w:val="18"/>
          <w:szCs w:val="20"/>
        </w:rPr>
        <w:fldChar w:fldCharType="begin"/>
      </w:r>
      <w:r w:rsidRPr="007D393A">
        <w:rPr>
          <w:rFonts w:eastAsia="Times New Roman"/>
          <w:b/>
          <w:bCs/>
          <w:sz w:val="18"/>
          <w:szCs w:val="20"/>
        </w:rPr>
        <w:instrText xml:space="preserve"> SEQ Fig. \* ARABIC </w:instrText>
      </w:r>
      <w:r w:rsidRPr="007D393A">
        <w:rPr>
          <w:rFonts w:eastAsia="Times New Roman"/>
          <w:b/>
          <w:bCs/>
          <w:sz w:val="18"/>
          <w:szCs w:val="20"/>
        </w:rPr>
        <w:fldChar w:fldCharType="separate"/>
      </w:r>
      <w:r w:rsidR="0070376B">
        <w:rPr>
          <w:rFonts w:eastAsia="Times New Roman"/>
          <w:b/>
          <w:bCs/>
          <w:noProof/>
          <w:sz w:val="18"/>
          <w:szCs w:val="20"/>
        </w:rPr>
        <w:t>1</w:t>
      </w:r>
      <w:r w:rsidRPr="007D393A">
        <w:rPr>
          <w:rFonts w:eastAsia="Times New Roman"/>
          <w:b/>
          <w:bCs/>
          <w:sz w:val="18"/>
          <w:szCs w:val="20"/>
        </w:rPr>
        <w:fldChar w:fldCharType="end"/>
      </w:r>
      <w:r w:rsidRPr="007D393A">
        <w:rPr>
          <w:rFonts w:eastAsia="Times New Roman"/>
          <w:b/>
          <w:bCs/>
          <w:sz w:val="18"/>
          <w:szCs w:val="20"/>
        </w:rPr>
        <w:t>.</w:t>
      </w:r>
      <w:r w:rsidRPr="000D075E">
        <w:rPr>
          <w:rFonts w:eastAsia="Times New Roman"/>
          <w:sz w:val="18"/>
          <w:szCs w:val="20"/>
        </w:rPr>
        <w:t xml:space="preserve"> The architecture of the autoencoder for generating the reconstruction errors </w:t>
      </w:r>
    </w:p>
    <w:p w14:paraId="1219D3C4" w14:textId="77777777" w:rsidR="000D075E" w:rsidRPr="002D753A" w:rsidRDefault="000D075E" w:rsidP="000D075E">
      <w:pPr>
        <w:jc w:val="center"/>
      </w:pPr>
    </w:p>
    <w:p w14:paraId="6863A65F" w14:textId="45264E9D" w:rsidR="000D075E" w:rsidRPr="002D753A" w:rsidRDefault="000D075E" w:rsidP="000D075E">
      <w:pPr>
        <w:rPr>
          <w:szCs w:val="24"/>
        </w:rPr>
      </w:pPr>
      <w:r w:rsidRPr="002D753A">
        <w:rPr>
          <w:szCs w:val="24"/>
        </w:rPr>
        <w:t xml:space="preserve">Using the trained autoencoder, each feature vector of the testing matrix is fed into this neural network as an input, i.e., </w:t>
      </w:r>
      <w:proofErr w:type="spellStart"/>
      <w:r w:rsidRPr="002D753A">
        <w:rPr>
          <w:b/>
          <w:bCs/>
          <w:szCs w:val="24"/>
        </w:rPr>
        <w:t>z</w:t>
      </w:r>
      <w:r w:rsidRPr="002D753A">
        <w:rPr>
          <w:i/>
          <w:iCs/>
          <w:szCs w:val="24"/>
          <w:vertAlign w:val="subscript"/>
        </w:rPr>
        <w:t>j</w:t>
      </w:r>
      <w:proofErr w:type="spellEnd"/>
      <w:r w:rsidRPr="002D753A">
        <w:rPr>
          <w:szCs w:val="24"/>
        </w:rPr>
        <w:t xml:space="preserve">, where </w:t>
      </w:r>
      <w:r w:rsidRPr="002D753A">
        <w:rPr>
          <w:i/>
          <w:iCs/>
          <w:szCs w:val="24"/>
        </w:rPr>
        <w:t>j</w:t>
      </w:r>
      <w:r w:rsidRPr="002D753A">
        <w:rPr>
          <w:szCs w:val="24"/>
        </w:rPr>
        <w:t>=</w:t>
      </w:r>
      <w:proofErr w:type="gramStart"/>
      <w:r w:rsidRPr="002D753A">
        <w:rPr>
          <w:szCs w:val="24"/>
        </w:rPr>
        <w:t>1,…</w:t>
      </w:r>
      <w:proofErr w:type="gramEnd"/>
      <w:r w:rsidRPr="002D753A">
        <w:rPr>
          <w:szCs w:val="24"/>
        </w:rPr>
        <w:t>,</w:t>
      </w:r>
      <w:r w:rsidRPr="002D753A">
        <w:rPr>
          <w:i/>
          <w:iCs/>
          <w:szCs w:val="24"/>
        </w:rPr>
        <w:t>m</w:t>
      </w:r>
      <w:r w:rsidRPr="002D753A">
        <w:rPr>
          <w:szCs w:val="24"/>
        </w:rPr>
        <w:t>, to reconstruct it (</w:t>
      </w:r>
      <m:oMath>
        <m:sSub>
          <m:sSubPr>
            <m:ctrlPr>
              <w:rPr>
                <w:rFonts w:ascii="Cambria Math" w:hAnsi="Cambria Math"/>
                <w:i/>
                <w:szCs w:val="24"/>
              </w:rPr>
            </m:ctrlPr>
          </m:sSubPr>
          <m:e>
            <m:acc>
              <m:accPr>
                <m:chr m:val="̃"/>
                <m:ctrlPr>
                  <w:rPr>
                    <w:rFonts w:ascii="Cambria Math" w:hAnsi="Cambria Math"/>
                    <w:b/>
                    <w:bCs/>
                    <w:iCs/>
                    <w:szCs w:val="24"/>
                  </w:rPr>
                </m:ctrlPr>
              </m:accPr>
              <m:e>
                <m:r>
                  <m:rPr>
                    <m:sty m:val="b"/>
                  </m:rPr>
                  <w:rPr>
                    <w:rFonts w:ascii="Cambria Math" w:hAnsi="Cambria Math"/>
                    <w:szCs w:val="24"/>
                  </w:rPr>
                  <m:t>z</m:t>
                </m:r>
              </m:e>
            </m:acc>
          </m:e>
          <m:sub>
            <m:r>
              <w:rPr>
                <w:rFonts w:ascii="Cambria Math" w:hAnsi="Cambria Math"/>
                <w:szCs w:val="24"/>
              </w:rPr>
              <m:t>j</m:t>
            </m:r>
          </m:sub>
        </m:sSub>
      </m:oMath>
      <w:r w:rsidRPr="002D753A">
        <w:rPr>
          <w:szCs w:val="24"/>
        </w:rPr>
        <w:t xml:space="preserve">). According to the original and reconstructed </w:t>
      </w:r>
      <w:r w:rsidR="00BC028E">
        <w:rPr>
          <w:szCs w:val="24"/>
        </w:rPr>
        <w:t xml:space="preserve">data from both the </w:t>
      </w:r>
      <w:r w:rsidRPr="002D753A">
        <w:rPr>
          <w:szCs w:val="24"/>
        </w:rPr>
        <w:t>training and testing data</w:t>
      </w:r>
      <w:r w:rsidR="00BC028E">
        <w:rPr>
          <w:szCs w:val="24"/>
        </w:rPr>
        <w:t xml:space="preserve"> sets</w:t>
      </w:r>
      <w:r w:rsidRPr="002D753A">
        <w:rPr>
          <w:szCs w:val="24"/>
        </w:rPr>
        <w:t xml:space="preserve">, reconstruction errors are </w:t>
      </w:r>
      <w:r w:rsidR="00BC028E">
        <w:rPr>
          <w:szCs w:val="24"/>
        </w:rPr>
        <w:t>computed and used</w:t>
      </w:r>
      <w:r w:rsidRPr="002D753A">
        <w:rPr>
          <w:szCs w:val="24"/>
        </w:rPr>
        <w:t xml:space="preserve"> as the normalized data for the next phase of the proposed method: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4197"/>
        <w:gridCol w:w="1383"/>
      </w:tblGrid>
      <w:tr w:rsidR="000D075E" w:rsidRPr="002D753A" w14:paraId="09E2EC6C" w14:textId="77777777" w:rsidTr="000D075E">
        <w:trPr>
          <w:trHeight w:val="227"/>
          <w:jc w:val="center"/>
        </w:trPr>
        <w:tc>
          <w:tcPr>
            <w:tcW w:w="1338" w:type="dxa"/>
            <w:vAlign w:val="center"/>
          </w:tcPr>
          <w:p w14:paraId="51F28BE9" w14:textId="77777777" w:rsidR="000D075E" w:rsidRPr="002D753A" w:rsidRDefault="000D075E" w:rsidP="003B3EF6">
            <w:pPr>
              <w:spacing w:before="120" w:after="120" w:line="276" w:lineRule="auto"/>
              <w:jc w:val="center"/>
              <w:rPr>
                <w:rFonts w:ascii="Times New Roman" w:eastAsia="Times New Roman" w:hAnsi="Times New Roman" w:cs="Times New Roman"/>
                <w:sz w:val="24"/>
                <w:szCs w:val="24"/>
              </w:rPr>
            </w:pPr>
          </w:p>
        </w:tc>
        <w:tc>
          <w:tcPr>
            <w:tcW w:w="4197" w:type="dxa"/>
            <w:vAlign w:val="center"/>
          </w:tcPr>
          <w:p w14:paraId="60EE5E15" w14:textId="77777777" w:rsidR="000D075E" w:rsidRPr="000D075E" w:rsidRDefault="00000000" w:rsidP="000D075E">
            <w:pPr>
              <w:rPr>
                <w:rFonts w:ascii="Cambria Math" w:eastAsia="Times New Roman" w:hAnsi="Cambria Math" w:cs="Times New Roman"/>
                <w:iCs/>
                <w:sz w:val="20"/>
                <w:szCs w:val="20"/>
              </w:rPr>
            </w:pPr>
            <m:oMathPara>
              <m:oMath>
                <m:sSub>
                  <m:sSubPr>
                    <m:ctrlPr>
                      <w:rPr>
                        <w:rFonts w:ascii="Cambria Math" w:eastAsia="Times New Roman" w:hAnsi="Cambria Math" w:cs="Times New Roman"/>
                        <w:iCs/>
                        <w:sz w:val="20"/>
                        <w:szCs w:val="20"/>
                      </w:rPr>
                    </m:ctrlPr>
                  </m:sSubPr>
                  <m:e>
                    <m:acc>
                      <m:accPr>
                        <m:ctrlPr>
                          <w:rPr>
                            <w:rFonts w:ascii="Cambria Math" w:eastAsia="Times New Roman" w:hAnsi="Cambria Math" w:cs="Times New Roman"/>
                            <w:iCs/>
                            <w:sz w:val="20"/>
                            <w:szCs w:val="20"/>
                          </w:rPr>
                        </m:ctrlPr>
                      </m:accPr>
                      <m:e>
                        <m:r>
                          <m:rPr>
                            <m:sty m:val="b"/>
                          </m:rPr>
                          <w:rPr>
                            <w:rFonts w:ascii="Cambria Math" w:eastAsia="Times New Roman" w:hAnsi="Cambria Math" w:cs="Times New Roman"/>
                            <w:sz w:val="20"/>
                            <w:szCs w:val="20"/>
                          </w:rPr>
                          <m:t>r</m:t>
                        </m:r>
                      </m:e>
                    </m:acc>
                  </m:e>
                  <m:sub>
                    <m:r>
                      <w:rPr>
                        <w:rFonts w:ascii="Cambria Math" w:eastAsia="Times New Roman" w:hAnsi="Cambria Math" w:cs="Times New Roman"/>
                        <w:sz w:val="20"/>
                        <w:szCs w:val="20"/>
                      </w:rPr>
                      <m:t>i</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iCs/>
                        <w:sz w:val="20"/>
                        <w:szCs w:val="20"/>
                      </w:rPr>
                    </m:ctrlPr>
                  </m:sSubPr>
                  <m:e>
                    <m:r>
                      <m:rPr>
                        <m:sty m:val="b"/>
                      </m:rPr>
                      <w:rPr>
                        <w:rFonts w:ascii="Cambria Math" w:eastAsia="Times New Roman" w:hAnsi="Cambria Math" w:cs="Times New Roman"/>
                        <w:sz w:val="20"/>
                        <w:szCs w:val="20"/>
                      </w:rPr>
                      <m:t>x</m:t>
                    </m:r>
                  </m:e>
                  <m:sub>
                    <m:r>
                      <w:rPr>
                        <w:rFonts w:ascii="Cambria Math" w:eastAsia="Times New Roman" w:hAnsi="Cambria Math" w:cs="Times New Roman"/>
                        <w:sz w:val="20"/>
                        <w:szCs w:val="20"/>
                      </w:rPr>
                      <m:t>i</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iCs/>
                        <w:sz w:val="20"/>
                        <w:szCs w:val="20"/>
                      </w:rPr>
                    </m:ctrlPr>
                  </m:sSubPr>
                  <m:e>
                    <m:acc>
                      <m:accPr>
                        <m:ctrlPr>
                          <w:rPr>
                            <w:rFonts w:ascii="Cambria Math" w:eastAsia="Times New Roman" w:hAnsi="Cambria Math" w:cs="Times New Roman"/>
                            <w:iCs/>
                            <w:sz w:val="20"/>
                            <w:szCs w:val="20"/>
                          </w:rPr>
                        </m:ctrlPr>
                      </m:accPr>
                      <m:e>
                        <m:r>
                          <m:rPr>
                            <m:sty m:val="b"/>
                          </m:rPr>
                          <w:rPr>
                            <w:rFonts w:ascii="Cambria Math" w:eastAsia="Times New Roman" w:hAnsi="Cambria Math" w:cs="Times New Roman"/>
                            <w:sz w:val="20"/>
                            <w:szCs w:val="20"/>
                          </w:rPr>
                          <m:t>x</m:t>
                        </m:r>
                      </m:e>
                    </m:acc>
                  </m:e>
                  <m:sub>
                    <m:r>
                      <w:rPr>
                        <w:rFonts w:ascii="Cambria Math" w:eastAsia="Times New Roman" w:hAnsi="Cambria Math" w:cs="Times New Roman"/>
                        <w:sz w:val="20"/>
                        <w:szCs w:val="20"/>
                      </w:rPr>
                      <m:t>i</m:t>
                    </m:r>
                  </m:sub>
                </m:sSub>
              </m:oMath>
            </m:oMathPara>
          </w:p>
        </w:tc>
        <w:tc>
          <w:tcPr>
            <w:tcW w:w="1383" w:type="dxa"/>
            <w:vAlign w:val="center"/>
          </w:tcPr>
          <w:p w14:paraId="339C2FCF" w14:textId="01FC407A" w:rsidR="000D075E" w:rsidRPr="000D075E" w:rsidRDefault="000D075E" w:rsidP="000D075E">
            <w:pPr>
              <w:ind w:right="-110"/>
              <w:jc w:val="right"/>
              <w:rPr>
                <w:rFonts w:ascii="Times New Roman" w:eastAsia="Times New Roman" w:hAnsi="Times New Roman" w:cs="Times New Roman"/>
                <w:iCs/>
                <w:sz w:val="20"/>
                <w:szCs w:val="20"/>
              </w:rPr>
            </w:pPr>
            <w:r w:rsidRPr="000D075E">
              <w:rPr>
                <w:rFonts w:ascii="Times New Roman" w:eastAsia="Times New Roman" w:hAnsi="Times New Roman" w:cs="Times New Roman"/>
                <w:iCs/>
                <w:sz w:val="20"/>
                <w:szCs w:val="20"/>
              </w:rPr>
              <w:t>(</w:t>
            </w:r>
            <w:r w:rsidRPr="000D075E">
              <w:fldChar w:fldCharType="begin"/>
            </w:r>
            <w:r w:rsidRPr="000D075E">
              <w:rPr>
                <w:rFonts w:ascii="Times New Roman" w:hAnsi="Times New Roman" w:cs="Times New Roman"/>
                <w:sz w:val="20"/>
                <w:szCs w:val="20"/>
              </w:rPr>
              <w:instrText xml:space="preserve"> SEQ Equation \* ARABIC </w:instrText>
            </w:r>
            <w:r w:rsidRPr="000D075E">
              <w:fldChar w:fldCharType="separate"/>
            </w:r>
            <w:r w:rsidR="0070376B">
              <w:rPr>
                <w:rFonts w:ascii="Times New Roman" w:hAnsi="Times New Roman" w:cs="Times New Roman"/>
                <w:noProof/>
                <w:sz w:val="20"/>
                <w:szCs w:val="20"/>
              </w:rPr>
              <w:t>4</w:t>
            </w:r>
            <w:r w:rsidRPr="000D075E">
              <w:fldChar w:fldCharType="end"/>
            </w:r>
            <w:r w:rsidRPr="000D075E">
              <w:rPr>
                <w:rFonts w:ascii="Times New Roman" w:hAnsi="Times New Roman" w:cs="Times New Roman"/>
                <w:sz w:val="20"/>
                <w:szCs w:val="20"/>
              </w:rPr>
              <w:t>)</w:t>
            </w:r>
          </w:p>
        </w:tc>
      </w:tr>
      <w:tr w:rsidR="000D075E" w:rsidRPr="002D753A" w14:paraId="471ED630" w14:textId="77777777" w:rsidTr="000D075E">
        <w:trPr>
          <w:trHeight w:val="227"/>
          <w:jc w:val="center"/>
        </w:trPr>
        <w:tc>
          <w:tcPr>
            <w:tcW w:w="1338" w:type="dxa"/>
            <w:vAlign w:val="center"/>
          </w:tcPr>
          <w:p w14:paraId="6194A501" w14:textId="77777777" w:rsidR="000D075E" w:rsidRPr="002D753A" w:rsidRDefault="000D075E" w:rsidP="003B3EF6">
            <w:pPr>
              <w:spacing w:before="120" w:after="120" w:line="276" w:lineRule="auto"/>
              <w:jc w:val="center"/>
              <w:rPr>
                <w:rFonts w:ascii="Times New Roman" w:eastAsia="Times New Roman" w:hAnsi="Times New Roman" w:cs="Times New Roman"/>
                <w:sz w:val="24"/>
                <w:szCs w:val="24"/>
              </w:rPr>
            </w:pPr>
          </w:p>
        </w:tc>
        <w:tc>
          <w:tcPr>
            <w:tcW w:w="4197" w:type="dxa"/>
            <w:vAlign w:val="center"/>
          </w:tcPr>
          <w:p w14:paraId="1E8AF2EE" w14:textId="77777777" w:rsidR="000D075E" w:rsidRPr="000D075E" w:rsidRDefault="00000000" w:rsidP="000D075E">
            <w:pPr>
              <w:rPr>
                <w:rFonts w:ascii="Cambria Math" w:eastAsia="Times New Roman" w:hAnsi="Cambria Math" w:cs="Times New Roman"/>
                <w:iCs/>
                <w:sz w:val="20"/>
                <w:szCs w:val="20"/>
              </w:rPr>
            </w:pPr>
            <m:oMathPara>
              <m:oMath>
                <m:sSub>
                  <m:sSubPr>
                    <m:ctrlPr>
                      <w:rPr>
                        <w:rFonts w:ascii="Cambria Math" w:eastAsia="Times New Roman" w:hAnsi="Cambria Math" w:cs="Times New Roman"/>
                        <w:iCs/>
                        <w:sz w:val="20"/>
                        <w:szCs w:val="20"/>
                      </w:rPr>
                    </m:ctrlPr>
                  </m:sSubPr>
                  <m:e>
                    <m:acc>
                      <m:accPr>
                        <m:chr m:val="̃"/>
                        <m:ctrlPr>
                          <w:rPr>
                            <w:rFonts w:ascii="Cambria Math" w:eastAsia="Times New Roman" w:hAnsi="Cambria Math" w:cs="Times New Roman"/>
                            <w:iCs/>
                            <w:sz w:val="20"/>
                            <w:szCs w:val="20"/>
                          </w:rPr>
                        </m:ctrlPr>
                      </m:accPr>
                      <m:e>
                        <m:r>
                          <m:rPr>
                            <m:sty m:val="b"/>
                          </m:rPr>
                          <w:rPr>
                            <w:rFonts w:ascii="Cambria Math" w:eastAsia="Times New Roman" w:hAnsi="Cambria Math" w:cs="Times New Roman"/>
                            <w:sz w:val="20"/>
                            <w:szCs w:val="20"/>
                          </w:rPr>
                          <m:t>r</m:t>
                        </m:r>
                      </m:e>
                    </m:acc>
                  </m:e>
                  <m:sub>
                    <m:r>
                      <w:rPr>
                        <w:rFonts w:ascii="Cambria Math" w:eastAsia="Times New Roman" w:hAnsi="Cambria Math" w:cs="Times New Roman"/>
                        <w:sz w:val="20"/>
                        <w:szCs w:val="20"/>
                      </w:rPr>
                      <m:t>j</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iCs/>
                        <w:sz w:val="20"/>
                        <w:szCs w:val="20"/>
                      </w:rPr>
                    </m:ctrlPr>
                  </m:sSubPr>
                  <m:e>
                    <m:r>
                      <m:rPr>
                        <m:sty m:val="b"/>
                      </m:rPr>
                      <w:rPr>
                        <w:rFonts w:ascii="Cambria Math" w:eastAsia="Times New Roman" w:hAnsi="Cambria Math" w:cs="Times New Roman"/>
                        <w:sz w:val="20"/>
                        <w:szCs w:val="20"/>
                      </w:rPr>
                      <m:t>z</m:t>
                    </m:r>
                  </m:e>
                  <m:sub>
                    <m:r>
                      <w:rPr>
                        <w:rFonts w:ascii="Cambria Math" w:eastAsia="Times New Roman" w:hAnsi="Cambria Math" w:cs="Times New Roman"/>
                        <w:sz w:val="20"/>
                        <w:szCs w:val="20"/>
                      </w:rPr>
                      <m:t>j</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iCs/>
                        <w:sz w:val="20"/>
                        <w:szCs w:val="20"/>
                      </w:rPr>
                    </m:ctrlPr>
                  </m:sSubPr>
                  <m:e>
                    <m:acc>
                      <m:accPr>
                        <m:chr m:val="̃"/>
                        <m:ctrlPr>
                          <w:rPr>
                            <w:rFonts w:ascii="Cambria Math" w:eastAsia="Times New Roman" w:hAnsi="Cambria Math" w:cs="Times New Roman"/>
                            <w:iCs/>
                            <w:sz w:val="20"/>
                            <w:szCs w:val="20"/>
                          </w:rPr>
                        </m:ctrlPr>
                      </m:accPr>
                      <m:e>
                        <m:r>
                          <m:rPr>
                            <m:sty m:val="b"/>
                          </m:rPr>
                          <w:rPr>
                            <w:rFonts w:ascii="Cambria Math" w:eastAsia="Times New Roman" w:hAnsi="Cambria Math" w:cs="Times New Roman"/>
                            <w:sz w:val="20"/>
                            <w:szCs w:val="20"/>
                          </w:rPr>
                          <m:t>z</m:t>
                        </m:r>
                      </m:e>
                    </m:acc>
                  </m:e>
                  <m:sub>
                    <m:r>
                      <w:rPr>
                        <w:rFonts w:ascii="Cambria Math" w:eastAsia="Times New Roman" w:hAnsi="Cambria Math" w:cs="Times New Roman"/>
                        <w:sz w:val="20"/>
                        <w:szCs w:val="20"/>
                      </w:rPr>
                      <m:t>j</m:t>
                    </m:r>
                  </m:sub>
                </m:sSub>
              </m:oMath>
            </m:oMathPara>
          </w:p>
        </w:tc>
        <w:tc>
          <w:tcPr>
            <w:tcW w:w="1383" w:type="dxa"/>
            <w:vAlign w:val="center"/>
          </w:tcPr>
          <w:p w14:paraId="53964696" w14:textId="7ABE124A" w:rsidR="000D075E" w:rsidRPr="000D075E" w:rsidRDefault="000D075E" w:rsidP="000D075E">
            <w:pPr>
              <w:ind w:right="-110"/>
              <w:jc w:val="right"/>
              <w:rPr>
                <w:rFonts w:ascii="Times New Roman" w:eastAsia="Times New Roman" w:hAnsi="Times New Roman" w:cs="Times New Roman"/>
                <w:iCs/>
                <w:sz w:val="20"/>
                <w:szCs w:val="20"/>
              </w:rPr>
            </w:pPr>
            <w:r w:rsidRPr="000D075E">
              <w:rPr>
                <w:rFonts w:ascii="Times New Roman" w:eastAsia="Times New Roman" w:hAnsi="Times New Roman" w:cs="Times New Roman"/>
                <w:iCs/>
                <w:sz w:val="20"/>
                <w:szCs w:val="20"/>
              </w:rPr>
              <w:t>(</w:t>
            </w:r>
            <w:r w:rsidRPr="000D075E">
              <w:rPr>
                <w:iCs/>
              </w:rPr>
              <w:fldChar w:fldCharType="begin"/>
            </w:r>
            <w:r w:rsidRPr="000D075E">
              <w:rPr>
                <w:rFonts w:ascii="Times New Roman" w:eastAsia="Times New Roman" w:hAnsi="Times New Roman" w:cs="Times New Roman"/>
                <w:iCs/>
                <w:sz w:val="20"/>
                <w:szCs w:val="20"/>
              </w:rPr>
              <w:instrText xml:space="preserve"> SEQ Equation \* ARABIC </w:instrText>
            </w:r>
            <w:r w:rsidRPr="000D075E">
              <w:rPr>
                <w:iCs/>
              </w:rPr>
              <w:fldChar w:fldCharType="separate"/>
            </w:r>
            <w:r w:rsidR="0070376B">
              <w:rPr>
                <w:rFonts w:ascii="Times New Roman" w:eastAsia="Times New Roman" w:hAnsi="Times New Roman" w:cs="Times New Roman"/>
                <w:iCs/>
                <w:noProof/>
                <w:sz w:val="20"/>
                <w:szCs w:val="20"/>
              </w:rPr>
              <w:t>5</w:t>
            </w:r>
            <w:r w:rsidRPr="000D075E">
              <w:rPr>
                <w:iCs/>
              </w:rPr>
              <w:fldChar w:fldCharType="end"/>
            </w:r>
            <w:r w:rsidRPr="000D075E">
              <w:rPr>
                <w:rFonts w:ascii="Times New Roman" w:eastAsia="Times New Roman" w:hAnsi="Times New Roman" w:cs="Times New Roman"/>
                <w:iCs/>
                <w:sz w:val="20"/>
                <w:szCs w:val="20"/>
              </w:rPr>
              <w:t>)</w:t>
            </w:r>
          </w:p>
        </w:tc>
      </w:tr>
    </w:tbl>
    <w:p w14:paraId="369E69B2" w14:textId="77777777" w:rsidR="000D075E" w:rsidRDefault="000D075E" w:rsidP="000D075E">
      <w:pPr>
        <w:pStyle w:val="heading2"/>
      </w:pPr>
      <w:r w:rsidRPr="002D753A">
        <w:t>Density-Based Clustering for Anomaly Detection</w:t>
      </w:r>
    </w:p>
    <w:p w14:paraId="26982BA6" w14:textId="5F64359F" w:rsidR="00BC028E" w:rsidRDefault="000D075E" w:rsidP="007C4102">
      <w:pPr>
        <w:spacing w:after="120"/>
        <w:ind w:firstLine="0"/>
      </w:pPr>
      <w:r w:rsidRPr="000D075E">
        <w:t>DBSCAN</w:t>
      </w:r>
      <w:r>
        <w:t xml:space="preserve"> is an effective clustering algorithm for dividing data samples based on the concept of data density </w:t>
      </w:r>
      <w:r>
        <w:fldChar w:fldCharType="begin"/>
      </w:r>
      <w:r>
        <w:instrText xml:space="preserve"> ADDIN EN.CITE &lt;EndNote&gt;&lt;Cite&gt;&lt;Author&gt;Ester&lt;/Author&gt;&lt;Year&gt;1996&lt;/Year&gt;&lt;RecNum&gt;968&lt;/RecNum&gt;&lt;DisplayText&gt;[7]&lt;/DisplayText&gt;&lt;record&gt;&lt;rec-number&gt;968&lt;/rec-number&gt;&lt;foreign-keys&gt;&lt;key app="EN" db-id="ttpsppas4a5wvfea9xr529sw20d5s2r2fsss" timestamp="0"&gt;968&lt;/key&gt;&lt;/foreign-keys&gt;&lt;ref-type name="Conference Proceedings"&gt;10&lt;/ref-type&gt;&lt;contributors&gt;&lt;authors&gt;&lt;author&gt;Ester, Martin&lt;/author&gt;&lt;author&gt;Kriegel, Hans-Peter&lt;/author&gt;&lt;author&gt;Sander, Jörg&lt;/author&gt;&lt;author&gt;Xu, Xiaowei&lt;/author&gt;&lt;/authors&gt;&lt;/contributors&gt;&lt;titles&gt;&lt;title&gt;A density-based algorithm for discovering clusters in large spatial databases with noise&lt;/title&gt;&lt;secondary-title&gt;Proceedings of the Second International Conference on Knowledge Discovery and Data Mining&lt;/secondary-title&gt;&lt;/titles&gt;&lt;pages&gt;226-231&lt;/pages&gt;&lt;volume&gt;96&lt;/volume&gt;&lt;number&gt;34&lt;/number&gt;&lt;dates&gt;&lt;year&gt;1996&lt;/year&gt;&lt;/dates&gt;&lt;pub-location&gt;Portland, Oregon, US&lt;/pub-location&gt;&lt;urls&gt;&lt;/urls&gt;&lt;/record&gt;&lt;/Cite&gt;&lt;/EndNote&gt;</w:instrText>
      </w:r>
      <w:r>
        <w:fldChar w:fldCharType="separate"/>
      </w:r>
      <w:r>
        <w:rPr>
          <w:noProof/>
        </w:rPr>
        <w:t>[</w:t>
      </w:r>
      <w:r w:rsidR="0057033A">
        <w:rPr>
          <w:noProof/>
        </w:rPr>
        <w:t>10</w:t>
      </w:r>
      <w:r>
        <w:rPr>
          <w:noProof/>
        </w:rPr>
        <w:t>]</w:t>
      </w:r>
      <w:r>
        <w:fldChar w:fldCharType="end"/>
      </w:r>
      <w:r>
        <w:t xml:space="preserve">. Unlike other clustering techniques, </w:t>
      </w:r>
      <w:r w:rsidR="00BC028E">
        <w:t>predefining the number of clusters</w:t>
      </w:r>
      <w:r>
        <w:t xml:space="preserve"> is mandatory before performing data clustering, DBSCAN does not require specifying the number of clusters beforehand. Instead, it identifies clusters based on the local density of data points by defining a neighborhood around each point. Accordingly, this technique introduces two key hyperparameters govern the clustering process: </w:t>
      </w:r>
    </w:p>
    <w:p w14:paraId="66850BAD" w14:textId="191DDAE5" w:rsidR="00BC028E" w:rsidRPr="00BC028E" w:rsidRDefault="000D075E" w:rsidP="00BC028E">
      <w:pPr>
        <w:pStyle w:val="ListParagraph"/>
        <w:numPr>
          <w:ilvl w:val="0"/>
          <w:numId w:val="19"/>
        </w:numPr>
        <w:rPr>
          <w:sz w:val="20"/>
          <w:szCs w:val="20"/>
        </w:rPr>
      </w:pPr>
      <w:r w:rsidRPr="00BC028E">
        <w:rPr>
          <w:sz w:val="20"/>
          <w:szCs w:val="20"/>
        </w:rPr>
        <w:lastRenderedPageBreak/>
        <w:t xml:space="preserve">epsilon (ε), which specifies the neighborhood radius, and </w:t>
      </w:r>
    </w:p>
    <w:p w14:paraId="01C0113F" w14:textId="77777777" w:rsidR="00BC028E" w:rsidRPr="00BC028E" w:rsidRDefault="000D075E" w:rsidP="00BC028E">
      <w:pPr>
        <w:pStyle w:val="ListParagraph"/>
        <w:numPr>
          <w:ilvl w:val="0"/>
          <w:numId w:val="19"/>
        </w:numPr>
        <w:rPr>
          <w:sz w:val="20"/>
          <w:szCs w:val="20"/>
        </w:rPr>
      </w:pPr>
      <w:proofErr w:type="spellStart"/>
      <w:r w:rsidRPr="00BC028E">
        <w:rPr>
          <w:sz w:val="20"/>
          <w:szCs w:val="20"/>
        </w:rPr>
        <w:t>minPts</w:t>
      </w:r>
      <w:proofErr w:type="spellEnd"/>
      <w:r w:rsidRPr="00BC028E">
        <w:rPr>
          <w:sz w:val="20"/>
          <w:szCs w:val="20"/>
        </w:rPr>
        <w:t>, the minimum number of points required to form a dense region.</w:t>
      </w:r>
    </w:p>
    <w:p w14:paraId="6A0E72F3" w14:textId="6F320FE8" w:rsidR="000D075E" w:rsidRPr="00BC028E" w:rsidRDefault="000D075E" w:rsidP="00BC028E">
      <w:pPr>
        <w:rPr>
          <w:szCs w:val="24"/>
        </w:rPr>
      </w:pPr>
      <w:r>
        <w:t xml:space="preserve"> </w:t>
      </w:r>
      <w:r w:rsidRPr="00BC028E">
        <w:rPr>
          <w:szCs w:val="24"/>
        </w:rPr>
        <w:t xml:space="preserve">During the algorithm, a core point is defined as a data point that has at least </w:t>
      </w:r>
      <w:proofErr w:type="spellStart"/>
      <w:r w:rsidRPr="00BC028E">
        <w:rPr>
          <w:szCs w:val="24"/>
        </w:rPr>
        <w:t>minPts</w:t>
      </w:r>
      <w:proofErr w:type="spellEnd"/>
      <w:r w:rsidRPr="00BC028E">
        <w:rPr>
          <w:szCs w:val="24"/>
        </w:rPr>
        <w:t xml:space="preserve"> neighbors within its ε neighborhood. Once a core point is identified, DBSCAN recursively expands the cluster by adding all reachable points within ε distance. The DBSCAN algorithm can detect clusters of arbitrary shapes and sizes in the dataset </w:t>
      </w:r>
      <w:r>
        <w:fldChar w:fldCharType="begin"/>
      </w:r>
      <w:r>
        <w:instrText xml:space="preserve"> ADDIN EN.CITE &lt;EndNote&gt;&lt;Cite&gt;&lt;Author&gt;Ester&lt;/Author&gt;&lt;Year&gt;1996&lt;/Year&gt;&lt;RecNum&gt;968&lt;/RecNum&gt;&lt;DisplayText&gt;[7]&lt;/DisplayText&gt;&lt;record&gt;&lt;rec-number&gt;968&lt;/rec-number&gt;&lt;foreign-keys&gt;&lt;key app="EN" db-id="ttpsppas4a5wvfea9xr529sw20d5s2r2fsss" timestamp="0"&gt;968&lt;/key&gt;&lt;/foreign-keys&gt;&lt;ref-type name="Conference Proceedings"&gt;10&lt;/ref-type&gt;&lt;contributors&gt;&lt;authors&gt;&lt;author&gt;Ester, Martin&lt;/author&gt;&lt;author&gt;Kriegel, Hans-Peter&lt;/author&gt;&lt;author&gt;Sander, Jörg&lt;/author&gt;&lt;author&gt;Xu, Xiaowei&lt;/author&gt;&lt;/authors&gt;&lt;/contributors&gt;&lt;titles&gt;&lt;title&gt;A density-based algorithm for discovering clusters in large spatial databases with noise&lt;/title&gt;&lt;secondary-title&gt;Proceedings of the Second International Conference on Knowledge Discovery and Data Mining&lt;/secondary-title&gt;&lt;/titles&gt;&lt;pages&gt;226-231&lt;/pages&gt;&lt;volume&gt;96&lt;/volume&gt;&lt;number&gt;34&lt;/number&gt;&lt;dates&gt;&lt;year&gt;1996&lt;/year&gt;&lt;/dates&gt;&lt;pub-location&gt;Portland, Oregon, US&lt;/pub-location&gt;&lt;urls&gt;&lt;/urls&gt;&lt;/record&gt;&lt;/Cite&gt;&lt;/EndNote&gt;</w:instrText>
      </w:r>
      <w:r>
        <w:fldChar w:fldCharType="separate"/>
      </w:r>
      <w:r>
        <w:rPr>
          <w:noProof/>
        </w:rPr>
        <w:t>[</w:t>
      </w:r>
      <w:r w:rsidR="0057033A">
        <w:rPr>
          <w:noProof/>
        </w:rPr>
        <w:t>10</w:t>
      </w:r>
      <w:r>
        <w:rPr>
          <w:noProof/>
        </w:rPr>
        <w:t>]</w:t>
      </w:r>
      <w:r>
        <w:fldChar w:fldCharType="end"/>
      </w:r>
      <w:r>
        <w:t>.</w:t>
      </w:r>
    </w:p>
    <w:p w14:paraId="019138AC" w14:textId="693276A9" w:rsidR="00BC028E" w:rsidRPr="002D753A" w:rsidRDefault="00BC028E" w:rsidP="00BC028E">
      <w:pPr>
        <w:rPr>
          <w:szCs w:val="24"/>
        </w:rPr>
      </w:pPr>
      <w:r w:rsidRPr="0089385F">
        <w:rPr>
          <w:szCs w:val="24"/>
        </w:rPr>
        <w:t>Although</w:t>
      </w:r>
      <w:r>
        <w:rPr>
          <w:szCs w:val="24"/>
        </w:rPr>
        <w:t xml:space="preserve"> </w:t>
      </w:r>
      <w:r w:rsidRPr="002D753A">
        <w:rPr>
          <w:szCs w:val="24"/>
        </w:rPr>
        <w:t xml:space="preserve">the DBSCAN </w:t>
      </w:r>
      <w:r>
        <w:rPr>
          <w:szCs w:val="24"/>
        </w:rPr>
        <w:t>is</w:t>
      </w:r>
      <w:r w:rsidRPr="002D753A">
        <w:rPr>
          <w:szCs w:val="24"/>
        </w:rPr>
        <w:t xml:space="preserve"> an unsupervised learning method for data clustering, this study innovatively utilizes it as an anomaly detector. The </w:t>
      </w:r>
      <w:r>
        <w:rPr>
          <w:szCs w:val="24"/>
        </w:rPr>
        <w:t>key</w:t>
      </w:r>
      <w:r w:rsidRPr="002D753A">
        <w:rPr>
          <w:szCs w:val="24"/>
        </w:rPr>
        <w:t xml:space="preserve"> idea </w:t>
      </w:r>
      <w:r w:rsidRPr="0089385F">
        <w:rPr>
          <w:szCs w:val="24"/>
        </w:rPr>
        <w:t>is to enforce the formation of two clusters by carefully tuning the algorithm's hyperparameters</w:t>
      </w:r>
      <w:r>
        <w:rPr>
          <w:szCs w:val="24"/>
        </w:rPr>
        <w:t xml:space="preserve">, as </w:t>
      </w:r>
      <w:r w:rsidRPr="002D753A">
        <w:rPr>
          <w:szCs w:val="24"/>
        </w:rPr>
        <w:t xml:space="preserve">explained in </w:t>
      </w:r>
      <w:r>
        <w:rPr>
          <w:szCs w:val="24"/>
        </w:rPr>
        <w:fldChar w:fldCharType="begin"/>
      </w:r>
      <w:r>
        <w:rPr>
          <w:szCs w:val="24"/>
        </w:rPr>
        <w:instrText xml:space="preserve"> ADDIN EN.CITE &lt;EndNote&gt;&lt;Cite&gt;&lt;Author&gt;Entezami&lt;/Author&gt;&lt;Year&gt;2023&lt;/Year&gt;&lt;RecNum&gt;2270&lt;/RecNum&gt;&lt;DisplayText&gt;[8]&lt;/DisplayText&gt;&lt;record&gt;&lt;rec-number&gt;2270&lt;/rec-number&gt;&lt;foreign-keys&gt;&lt;key app="EN" db-id="ttpsppas4a5wvfea9xr529sw20d5s2r2fsss" timestamp="1673935879"&gt;2270&lt;/key&gt;&lt;/foreign-keys&gt;&lt;ref-type name="Journal Article"&gt;17&lt;/ref-type&gt;&lt;contributors&gt;&lt;authors&gt;&lt;author&gt;Entezami, Alireza&lt;/author&gt;&lt;author&gt;Sarmadi, Hassan&lt;/author&gt;&lt;author&gt;Behkamal, Bahareh&lt;/author&gt;&lt;author&gt;De Michele, Carlo&lt;/author&gt;&lt;/authors&gt;&lt;/contributors&gt;&lt;titles&gt;&lt;title&gt;On continuous health monitoring of bridges under serious environmental variability by an innovative multi-task unsupervised learning method&lt;/title&gt;&lt;secondary-title&gt;Structure and Infrastructure Engineering&lt;/secondary-title&gt;&lt;/titles&gt;&lt;periodical&gt;&lt;full-title&gt;Structure and Infrastructure Engineering&lt;/full-title&gt;&lt;abbr-1&gt;Struct. Infrastruct. Eng.&lt;/abbr-1&gt;&lt;abbr-2&gt;Struct Infrastruct Eng&lt;/abbr-2&gt;&lt;/periodical&gt;&lt;pages&gt;1975-1993&lt;/pages&gt;&lt;volume&gt;20&lt;/volume&gt;&lt;number&gt;12&lt;/number&gt;&lt;dates&gt;&lt;year&gt;2023&lt;/year&gt;&lt;/dates&gt;&lt;publisher&gt;Taylor &amp;amp; Francis&lt;/publisher&gt;&lt;isbn&gt;1573-2479&lt;/isbn&gt;&lt;urls&gt;&lt;related-urls&gt;&lt;url&gt;https://doi.org/10.1080/15732479.2023.2166538&lt;/url&gt;&lt;/related-urls&gt;&lt;/urls&gt;&lt;electronic-resource-num&gt;https://doi.org/10.1080/15732479.2023.2166538&lt;/electronic-resource-num&gt;&lt;/record&gt;&lt;/Cite&gt;&lt;/EndNote&gt;</w:instrText>
      </w:r>
      <w:r>
        <w:rPr>
          <w:szCs w:val="24"/>
        </w:rPr>
        <w:fldChar w:fldCharType="separate"/>
      </w:r>
      <w:r>
        <w:rPr>
          <w:noProof/>
          <w:szCs w:val="24"/>
        </w:rPr>
        <w:t>[</w:t>
      </w:r>
      <w:r w:rsidR="0057033A">
        <w:rPr>
          <w:noProof/>
          <w:szCs w:val="24"/>
        </w:rPr>
        <w:t>11</w:t>
      </w:r>
      <w:r>
        <w:rPr>
          <w:noProof/>
          <w:szCs w:val="24"/>
        </w:rPr>
        <w:t>]</w:t>
      </w:r>
      <w:r>
        <w:rPr>
          <w:szCs w:val="24"/>
        </w:rPr>
        <w:fldChar w:fldCharType="end"/>
      </w:r>
      <w:r w:rsidRPr="002D753A">
        <w:rPr>
          <w:szCs w:val="24"/>
        </w:rPr>
        <w:t xml:space="preserve">. </w:t>
      </w:r>
      <w:r w:rsidRPr="0089385F">
        <w:rPr>
          <w:szCs w:val="24"/>
        </w:rPr>
        <w:t>Under this configuration</w:t>
      </w:r>
      <w:r w:rsidRPr="002D753A">
        <w:rPr>
          <w:szCs w:val="24"/>
        </w:rPr>
        <w:t xml:space="preserve">, the DBSCAN can allocate clustered labels </w:t>
      </w:r>
      <w:r>
        <w:rPr>
          <w:szCs w:val="24"/>
        </w:rPr>
        <w:t>-1</w:t>
      </w:r>
      <w:r w:rsidRPr="002D753A">
        <w:rPr>
          <w:szCs w:val="24"/>
        </w:rPr>
        <w:t xml:space="preserve"> and 1 for data samples, where </w:t>
      </w:r>
      <w:r>
        <w:rPr>
          <w:szCs w:val="24"/>
        </w:rPr>
        <w:t xml:space="preserve">-1 </w:t>
      </w:r>
      <w:r w:rsidRPr="009F2C9D">
        <w:rPr>
          <w:szCs w:val="24"/>
        </w:rPr>
        <w:t>indicates</w:t>
      </w:r>
      <w:r>
        <w:rPr>
          <w:szCs w:val="24"/>
        </w:rPr>
        <w:t xml:space="preserve"> to an anomaly or damaged state, while 1 </w:t>
      </w:r>
      <w:r w:rsidRPr="009F2C9D">
        <w:rPr>
          <w:szCs w:val="24"/>
        </w:rPr>
        <w:t>represents</w:t>
      </w:r>
      <w:r>
        <w:rPr>
          <w:szCs w:val="24"/>
        </w:rPr>
        <w:t xml:space="preserve"> </w:t>
      </w:r>
      <w:r w:rsidRPr="002D753A">
        <w:rPr>
          <w:szCs w:val="24"/>
        </w:rPr>
        <w:t xml:space="preserve">normal </w:t>
      </w:r>
      <w:r w:rsidRPr="009F2C9D">
        <w:rPr>
          <w:szCs w:val="24"/>
        </w:rPr>
        <w:t>behavior</w:t>
      </w:r>
      <w:r w:rsidRPr="002D753A">
        <w:rPr>
          <w:szCs w:val="24"/>
        </w:rPr>
        <w:t xml:space="preserve">. For this purpose, the reconstruction errors of the training and testing data, i.e., </w:t>
      </w:r>
      <m:oMath>
        <m:sSub>
          <m:sSubPr>
            <m:ctrlPr>
              <w:rPr>
                <w:rFonts w:ascii="Cambria Math" w:hAnsi="Cambria Math"/>
                <w:szCs w:val="24"/>
              </w:rPr>
            </m:ctrlPr>
          </m:sSubPr>
          <m:e>
            <m:acc>
              <m:accPr>
                <m:ctrlPr>
                  <w:rPr>
                    <w:rFonts w:ascii="Cambria Math" w:hAnsi="Cambria Math"/>
                    <w:szCs w:val="24"/>
                  </w:rPr>
                </m:ctrlPr>
              </m:accPr>
              <m:e>
                <m:r>
                  <m:rPr>
                    <m:sty m:val="b"/>
                  </m:rPr>
                  <w:rPr>
                    <w:rFonts w:ascii="Cambria Math" w:hAnsi="Cambria Math"/>
                    <w:szCs w:val="24"/>
                  </w:rPr>
                  <m:t>r</m:t>
                </m:r>
              </m:e>
            </m:acc>
          </m:e>
          <m:sub>
            <m:r>
              <w:rPr>
                <w:rFonts w:ascii="Cambria Math" w:hAnsi="Cambria Math"/>
                <w:szCs w:val="24"/>
              </w:rPr>
              <m:t>i</m:t>
            </m:r>
          </m:sub>
        </m:sSub>
      </m:oMath>
      <w:r w:rsidRPr="002D753A">
        <w:rPr>
          <w:szCs w:val="24"/>
        </w:rPr>
        <w:t xml:space="preserve"> and </w:t>
      </w:r>
      <m:oMath>
        <m:sSub>
          <m:sSubPr>
            <m:ctrlPr>
              <w:rPr>
                <w:rFonts w:ascii="Cambria Math" w:hAnsi="Cambria Math"/>
                <w:szCs w:val="24"/>
              </w:rPr>
            </m:ctrlPr>
          </m:sSubPr>
          <m:e>
            <m:acc>
              <m:accPr>
                <m:chr m:val="̃"/>
                <m:ctrlPr>
                  <w:rPr>
                    <w:rFonts w:ascii="Cambria Math" w:hAnsi="Cambria Math"/>
                    <w:szCs w:val="24"/>
                  </w:rPr>
                </m:ctrlPr>
              </m:accPr>
              <m:e>
                <m:r>
                  <m:rPr>
                    <m:sty m:val="b"/>
                  </m:rPr>
                  <w:rPr>
                    <w:rFonts w:ascii="Cambria Math" w:hAnsi="Cambria Math"/>
                    <w:szCs w:val="24"/>
                  </w:rPr>
                  <m:t>r</m:t>
                </m:r>
              </m:e>
            </m:acc>
          </m:e>
          <m:sub>
            <m:r>
              <w:rPr>
                <w:rFonts w:ascii="Cambria Math" w:hAnsi="Cambria Math"/>
                <w:szCs w:val="24"/>
              </w:rPr>
              <m:t>j</m:t>
            </m:r>
          </m:sub>
        </m:sSub>
      </m:oMath>
      <w:r w:rsidRPr="002D753A">
        <w:rPr>
          <w:szCs w:val="24"/>
        </w:rPr>
        <w:t xml:space="preserve">, are collected into a </w:t>
      </w:r>
      <w:r>
        <w:rPr>
          <w:szCs w:val="24"/>
        </w:rPr>
        <w:t>matrix</w:t>
      </w:r>
      <w:r w:rsidRPr="002D753A">
        <w:rPr>
          <w:szCs w:val="24"/>
        </w:rPr>
        <w:t xml:space="preserve"> to generate a unique dataset</w:t>
      </w:r>
      <w:r>
        <w:rPr>
          <w:szCs w:val="24"/>
        </w:rPr>
        <w:t xml:space="preserve">. </w:t>
      </w:r>
      <w:proofErr w:type="gramStart"/>
      <w:r>
        <w:rPr>
          <w:szCs w:val="24"/>
        </w:rPr>
        <w:t>In order to</w:t>
      </w:r>
      <w:proofErr w:type="gramEnd"/>
      <w:r>
        <w:rPr>
          <w:szCs w:val="24"/>
        </w:rPr>
        <w:t xml:space="preserve"> increase the accuracy of anomaly detection, the minimum value of </w:t>
      </w:r>
      <w:r w:rsidRPr="003B3EF6">
        <w:rPr>
          <w:i/>
          <w:iCs/>
          <w:szCs w:val="24"/>
        </w:rPr>
        <w:t>p</w:t>
      </w:r>
      <w:r>
        <w:rPr>
          <w:szCs w:val="24"/>
        </w:rPr>
        <w:t xml:space="preserve"> columns of this matrix is extracted to make a vector of reconstruction errors</w:t>
      </w:r>
      <w:r w:rsidRPr="002D753A">
        <w:rPr>
          <w:szCs w:val="24"/>
        </w:rPr>
        <w:t xml:space="preserve"> </w:t>
      </w:r>
      <w:r w:rsidRPr="002D753A">
        <w:rPr>
          <w:b/>
          <w:bCs/>
          <w:szCs w:val="24"/>
        </w:rPr>
        <w:t>R</w:t>
      </w:r>
      <w:proofErr w:type="gramStart"/>
      <w:r w:rsidRPr="002D753A">
        <w:rPr>
          <w:szCs w:val="24"/>
        </w:rPr>
        <w:t>=[</w:t>
      </w:r>
      <w:proofErr w:type="gramEnd"/>
      <m:oMath>
        <m:sSub>
          <m:sSubPr>
            <m:ctrlPr>
              <w:rPr>
                <w:rFonts w:ascii="Cambria Math" w:hAnsi="Cambria Math"/>
                <w:szCs w:val="24"/>
              </w:rPr>
            </m:ctrlPr>
          </m:sSubPr>
          <m:e>
            <m:acc>
              <m:accPr>
                <m:ctrlPr>
                  <w:rPr>
                    <w:rFonts w:ascii="Cambria Math" w:hAnsi="Cambria Math"/>
                    <w:szCs w:val="24"/>
                  </w:rPr>
                </m:ctrlPr>
              </m:accPr>
              <m:e>
                <m:r>
                  <w:rPr>
                    <w:rFonts w:ascii="Cambria Math" w:hAnsi="Cambria Math"/>
                    <w:szCs w:val="24"/>
                  </w:rPr>
                  <m:t>r</m:t>
                </m:r>
              </m:e>
            </m:acc>
          </m:e>
          <m:sub>
            <m:r>
              <w:rPr>
                <w:rFonts w:ascii="Cambria Math" w:hAnsi="Cambria Math"/>
                <w:szCs w:val="24"/>
              </w:rPr>
              <m:t>1</m:t>
            </m:r>
          </m:sub>
        </m:sSub>
        <m:r>
          <w:rPr>
            <w:rFonts w:ascii="Cambria Math" w:hAnsi="Cambria Math"/>
            <w:szCs w:val="24"/>
          </w:rPr>
          <m:t>,…,</m:t>
        </m:r>
        <m:sSub>
          <m:sSubPr>
            <m:ctrlPr>
              <w:rPr>
                <w:rFonts w:ascii="Cambria Math" w:hAnsi="Cambria Math"/>
                <w:szCs w:val="24"/>
              </w:rPr>
            </m:ctrlPr>
          </m:sSubPr>
          <m:e>
            <m:acc>
              <m:accPr>
                <m:ctrlPr>
                  <w:rPr>
                    <w:rFonts w:ascii="Cambria Math" w:hAnsi="Cambria Math"/>
                    <w:szCs w:val="24"/>
                  </w:rPr>
                </m:ctrlPr>
              </m:accPr>
              <m:e>
                <m:r>
                  <w:rPr>
                    <w:rFonts w:ascii="Cambria Math" w:hAnsi="Cambria Math"/>
                    <w:szCs w:val="24"/>
                  </w:rPr>
                  <m:t>r</m:t>
                </m:r>
              </m:e>
            </m:acc>
          </m:e>
          <m:sub>
            <m:r>
              <w:rPr>
                <w:rFonts w:ascii="Cambria Math" w:hAnsi="Cambria Math"/>
                <w:szCs w:val="24"/>
              </w:rPr>
              <m:t>n</m:t>
            </m:r>
          </m:sub>
        </m:sSub>
        <m:r>
          <w:rPr>
            <w:rFonts w:ascii="Cambria Math" w:hAnsi="Cambria Math"/>
            <w:szCs w:val="24"/>
          </w:rPr>
          <m:t>,</m:t>
        </m:r>
        <m:sSub>
          <m:sSubPr>
            <m:ctrlPr>
              <w:rPr>
                <w:rFonts w:ascii="Cambria Math" w:hAnsi="Cambria Math"/>
                <w:szCs w:val="24"/>
              </w:rPr>
            </m:ctrlPr>
          </m:sSubPr>
          <m:e>
            <m:acc>
              <m:accPr>
                <m:chr m:val="̃"/>
                <m:ctrlPr>
                  <w:rPr>
                    <w:rFonts w:ascii="Cambria Math" w:hAnsi="Cambria Math"/>
                    <w:i/>
                    <w:iCs/>
                    <w:szCs w:val="24"/>
                  </w:rPr>
                </m:ctrlPr>
              </m:accPr>
              <m:e>
                <m:r>
                  <w:rPr>
                    <w:rFonts w:ascii="Cambria Math" w:hAnsi="Cambria Math"/>
                    <w:szCs w:val="24"/>
                  </w:rPr>
                  <m:t>r</m:t>
                </m:r>
              </m:e>
            </m:acc>
          </m:e>
          <m:sub>
            <m:r>
              <w:rPr>
                <w:rFonts w:ascii="Cambria Math" w:hAnsi="Cambria Math"/>
                <w:szCs w:val="24"/>
              </w:rPr>
              <m:t>n+1</m:t>
            </m:r>
          </m:sub>
        </m:sSub>
        <m:r>
          <w:rPr>
            <w:rFonts w:ascii="Cambria Math" w:hAnsi="Cambria Math"/>
            <w:szCs w:val="24"/>
          </w:rPr>
          <m:t>,…,</m:t>
        </m:r>
        <m:sSub>
          <m:sSubPr>
            <m:ctrlPr>
              <w:rPr>
                <w:rFonts w:ascii="Cambria Math" w:hAnsi="Cambria Math"/>
                <w:szCs w:val="24"/>
              </w:rPr>
            </m:ctrlPr>
          </m:sSubPr>
          <m:e>
            <m:acc>
              <m:accPr>
                <m:chr m:val="̃"/>
                <m:ctrlPr>
                  <w:rPr>
                    <w:rFonts w:ascii="Cambria Math" w:hAnsi="Cambria Math"/>
                    <w:szCs w:val="24"/>
                  </w:rPr>
                </m:ctrlPr>
              </m:accPr>
              <m:e>
                <m:r>
                  <w:rPr>
                    <w:rFonts w:ascii="Cambria Math" w:hAnsi="Cambria Math"/>
                    <w:szCs w:val="24"/>
                  </w:rPr>
                  <m:t>r</m:t>
                </m:r>
              </m:e>
            </m:acc>
          </m:e>
          <m:sub>
            <m:r>
              <w:rPr>
                <w:rFonts w:ascii="Cambria Math" w:hAnsi="Cambria Math"/>
                <w:szCs w:val="24"/>
              </w:rPr>
              <m:t>n+m</m:t>
            </m:r>
          </m:sub>
        </m:sSub>
      </m:oMath>
      <w:r w:rsidRPr="002D753A">
        <w:rPr>
          <w:szCs w:val="24"/>
        </w:rPr>
        <w:t xml:space="preserve">]. Unlike centroid-based clustering methods (e.g., k-means), DBSCAN identifies clusters based on point density </w:t>
      </w:r>
      <w:r w:rsidRPr="009F2C9D">
        <w:rPr>
          <w:szCs w:val="24"/>
        </w:rPr>
        <w:t>rather than distance from a center, making it particularly effective for detecting irregular, non-Gaussian, or</w:t>
      </w:r>
      <w:r>
        <w:rPr>
          <w:szCs w:val="24"/>
        </w:rPr>
        <w:t xml:space="preserve"> </w:t>
      </w:r>
      <w:r w:rsidRPr="002D753A">
        <w:rPr>
          <w:szCs w:val="24"/>
        </w:rPr>
        <w:t>skewed</w:t>
      </w:r>
      <w:r>
        <w:rPr>
          <w:szCs w:val="24"/>
        </w:rPr>
        <w:t xml:space="preserve"> </w:t>
      </w:r>
      <w:r w:rsidRPr="009F2C9D">
        <w:rPr>
          <w:szCs w:val="24"/>
        </w:rPr>
        <w:t>patterns in reconstruction error distributions.</w:t>
      </w:r>
    </w:p>
    <w:p w14:paraId="4E421083" w14:textId="77777777" w:rsidR="000D075E" w:rsidRDefault="000D075E" w:rsidP="000D075E">
      <w:r w:rsidRPr="002D753A">
        <w:t xml:space="preserve">Given the reconstruction error dataset </w:t>
      </w:r>
      <w:r w:rsidRPr="002D753A">
        <w:rPr>
          <w:b/>
          <w:bCs/>
        </w:rPr>
        <w:t>R</w:t>
      </w:r>
      <w:r w:rsidRPr="002D753A">
        <w:t>, the DBSCAN clustering process needs ε-neighborhood of each point, which can be defined as follows:</w:t>
      </w:r>
    </w:p>
    <w:p w14:paraId="12CEE50F" w14:textId="77777777" w:rsidR="000D075E" w:rsidRPr="002D753A" w:rsidRDefault="000D075E" w:rsidP="000D075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0"/>
        <w:gridCol w:w="4454"/>
        <w:gridCol w:w="1284"/>
      </w:tblGrid>
      <w:tr w:rsidR="000D075E" w:rsidRPr="002D753A" w14:paraId="2B646DBF" w14:textId="77777777" w:rsidTr="003B3EF6">
        <w:trPr>
          <w:trHeight w:val="227"/>
          <w:jc w:val="center"/>
        </w:trPr>
        <w:tc>
          <w:tcPr>
            <w:tcW w:w="1838" w:type="dxa"/>
            <w:vAlign w:val="center"/>
          </w:tcPr>
          <w:p w14:paraId="57804EB9" w14:textId="77777777" w:rsidR="000D075E" w:rsidRPr="002D753A" w:rsidRDefault="000D075E" w:rsidP="000D075E">
            <w:pPr>
              <w:rPr>
                <w:sz w:val="24"/>
                <w:szCs w:val="24"/>
              </w:rPr>
            </w:pPr>
          </w:p>
        </w:tc>
        <w:tc>
          <w:tcPr>
            <w:tcW w:w="5812" w:type="dxa"/>
            <w:vAlign w:val="center"/>
          </w:tcPr>
          <w:p w14:paraId="705906F1" w14:textId="77777777" w:rsidR="000D075E" w:rsidRPr="000D075E" w:rsidRDefault="00000000" w:rsidP="000D075E">
            <w:pPr>
              <w:rPr>
                <w:rFonts w:ascii="Times New Roman" w:hAnsi="Times New Roman" w:cs="Times New Roman"/>
                <w:sz w:val="24"/>
                <w:szCs w:val="24"/>
              </w:rPr>
            </w:pPr>
            <m:oMathPara>
              <m:oMath>
                <m:sSub>
                  <m:sSubPr>
                    <m:ctrlPr>
                      <w:rPr>
                        <w:rFonts w:ascii="Cambria Math" w:eastAsia="Times New Roman" w:hAnsi="Cambria Math" w:cs="Times New Roman"/>
                        <w:iCs/>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ε</m:t>
                    </m:r>
                  </m:sub>
                </m:sSub>
                <m:d>
                  <m:dPr>
                    <m:ctrlPr>
                      <w:rPr>
                        <w:rFonts w:ascii="Cambria Math" w:eastAsia="Times New Roman" w:hAnsi="Cambria Math" w:cs="Times New Roman"/>
                        <w:iCs/>
                        <w:sz w:val="20"/>
                        <w:szCs w:val="20"/>
                      </w:rPr>
                    </m:ctrlPr>
                  </m:dPr>
                  <m:e>
                    <m:sSub>
                      <m:sSubPr>
                        <m:ctrlPr>
                          <w:rPr>
                            <w:rFonts w:ascii="Cambria Math" w:eastAsia="Times New Roman" w:hAnsi="Cambria Math" w:cs="Times New Roman"/>
                            <w:iCs/>
                            <w:sz w:val="20"/>
                            <w:szCs w:val="20"/>
                          </w:rPr>
                        </m:ctrlPr>
                      </m:sSubPr>
                      <m:e>
                        <m:r>
                          <m:rPr>
                            <m:sty m:val="b"/>
                          </m:rPr>
                          <w:rPr>
                            <w:rFonts w:ascii="Cambria Math" w:eastAsia="Times New Roman" w:hAnsi="Cambria Math" w:cs="Times New Roman"/>
                            <w:sz w:val="20"/>
                            <w:szCs w:val="20"/>
                          </w:rPr>
                          <m:t>R</m:t>
                        </m:r>
                      </m:e>
                      <m:sub>
                        <m:r>
                          <w:rPr>
                            <w:rFonts w:ascii="Cambria Math" w:eastAsia="Times New Roman" w:hAnsi="Cambria Math" w:cs="Times New Roman"/>
                            <w:sz w:val="20"/>
                            <w:szCs w:val="20"/>
                          </w:rPr>
                          <m:t>k</m:t>
                        </m:r>
                      </m:sub>
                    </m:sSub>
                  </m:e>
                </m:d>
                <m:r>
                  <m:rPr>
                    <m:sty m:val="p"/>
                  </m:rPr>
                  <w:rPr>
                    <w:rFonts w:ascii="Cambria Math" w:eastAsia="Times New Roman" w:hAnsi="Cambria Math" w:cs="Times New Roman"/>
                    <w:sz w:val="20"/>
                    <w:szCs w:val="20"/>
                  </w:rPr>
                  <m:t>=</m:t>
                </m:r>
                <m:d>
                  <m:dPr>
                    <m:begChr m:val="{"/>
                    <m:endChr m:val="}"/>
                    <m:ctrlPr>
                      <w:rPr>
                        <w:rFonts w:ascii="Cambria Math" w:eastAsia="Times New Roman" w:hAnsi="Cambria Math" w:cs="Times New Roman"/>
                        <w:iCs/>
                        <w:sz w:val="20"/>
                        <w:szCs w:val="20"/>
                      </w:rPr>
                    </m:ctrlPr>
                  </m:dPr>
                  <m:e>
                    <m:sSub>
                      <m:sSubPr>
                        <m:ctrlPr>
                          <w:rPr>
                            <w:rFonts w:ascii="Cambria Math" w:eastAsia="Times New Roman" w:hAnsi="Cambria Math" w:cs="Times New Roman"/>
                            <w:iCs/>
                            <w:sz w:val="20"/>
                            <w:szCs w:val="20"/>
                          </w:rPr>
                        </m:ctrlPr>
                      </m:sSubPr>
                      <m:e>
                        <m:r>
                          <m:rPr>
                            <m:sty m:val="b"/>
                          </m:rPr>
                          <w:rPr>
                            <w:rFonts w:ascii="Cambria Math" w:eastAsia="Times New Roman" w:hAnsi="Cambria Math" w:cs="Times New Roman"/>
                            <w:sz w:val="20"/>
                            <w:szCs w:val="20"/>
                          </w:rPr>
                          <m:t>R</m:t>
                        </m:r>
                      </m:e>
                      <m:sub>
                        <m:r>
                          <w:rPr>
                            <w:rFonts w:ascii="Cambria Math" w:eastAsia="Times New Roman" w:hAnsi="Cambria Math" w:cs="Times New Roman"/>
                            <w:sz w:val="20"/>
                            <w:szCs w:val="20"/>
                          </w:rPr>
                          <m:t>l</m:t>
                        </m:r>
                      </m:sub>
                    </m:sSub>
                    <m:r>
                      <m:rPr>
                        <m:sty m:val="p"/>
                      </m:rPr>
                      <w:rPr>
                        <w:rFonts w:ascii="Cambria Math" w:eastAsia="Times New Roman" w:hAnsi="Cambria Math" w:cs="Times New Roman"/>
                        <w:sz w:val="20"/>
                        <w:szCs w:val="20"/>
                      </w:rPr>
                      <m:t>∈</m:t>
                    </m:r>
                    <m:r>
                      <m:rPr>
                        <m:sty m:val="b"/>
                      </m:rPr>
                      <w:rPr>
                        <w:rFonts w:ascii="Cambria Math" w:eastAsia="Times New Roman" w:hAnsi="Cambria Math" w:cs="Times New Roman"/>
                        <w:sz w:val="20"/>
                        <w:szCs w:val="20"/>
                      </w:rPr>
                      <m:t>R</m:t>
                    </m:r>
                  </m:e>
                  <m:e>
                    <m:d>
                      <m:dPr>
                        <m:begChr m:val="‖"/>
                        <m:endChr m:val="‖"/>
                        <m:ctrlPr>
                          <w:rPr>
                            <w:rFonts w:ascii="Cambria Math" w:eastAsia="Times New Roman" w:hAnsi="Cambria Math" w:cs="Times New Roman"/>
                            <w:iCs/>
                            <w:sz w:val="20"/>
                            <w:szCs w:val="20"/>
                          </w:rPr>
                        </m:ctrlPr>
                      </m:dPr>
                      <m:e>
                        <m:sSub>
                          <m:sSubPr>
                            <m:ctrlPr>
                              <w:rPr>
                                <w:rFonts w:ascii="Cambria Math" w:eastAsia="Times New Roman" w:hAnsi="Cambria Math" w:cs="Times New Roman"/>
                                <w:iCs/>
                                <w:sz w:val="20"/>
                                <w:szCs w:val="20"/>
                              </w:rPr>
                            </m:ctrlPr>
                          </m:sSubPr>
                          <m:e>
                            <m:r>
                              <m:rPr>
                                <m:sty m:val="b"/>
                              </m:rPr>
                              <w:rPr>
                                <w:rFonts w:ascii="Cambria Math" w:eastAsia="Times New Roman" w:hAnsi="Cambria Math" w:cs="Times New Roman"/>
                                <w:sz w:val="20"/>
                                <w:szCs w:val="20"/>
                              </w:rPr>
                              <m:t>R</m:t>
                            </m:r>
                          </m:e>
                          <m:sub>
                            <m:r>
                              <w:rPr>
                                <w:rFonts w:ascii="Cambria Math" w:eastAsia="Times New Roman" w:hAnsi="Cambria Math" w:cs="Times New Roman"/>
                                <w:sz w:val="20"/>
                                <w:szCs w:val="20"/>
                              </w:rPr>
                              <m:t>k</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iCs/>
                                <w:sz w:val="20"/>
                                <w:szCs w:val="20"/>
                              </w:rPr>
                            </m:ctrlPr>
                          </m:sSubPr>
                          <m:e>
                            <m:r>
                              <m:rPr>
                                <m:sty m:val="b"/>
                              </m:rPr>
                              <w:rPr>
                                <w:rFonts w:ascii="Cambria Math" w:eastAsia="Times New Roman" w:hAnsi="Cambria Math" w:cs="Times New Roman"/>
                                <w:sz w:val="20"/>
                                <w:szCs w:val="20"/>
                              </w:rPr>
                              <m:t>R</m:t>
                            </m:r>
                          </m:e>
                          <m:sub>
                            <m:r>
                              <w:rPr>
                                <w:rFonts w:ascii="Cambria Math" w:eastAsia="Times New Roman" w:hAnsi="Cambria Math" w:cs="Times New Roman"/>
                                <w:sz w:val="20"/>
                                <w:szCs w:val="20"/>
                              </w:rPr>
                              <m:t>l</m:t>
                            </m:r>
                          </m:sub>
                        </m:sSub>
                      </m:e>
                    </m:d>
                    <m:r>
                      <m:rPr>
                        <m:sty m:val="p"/>
                      </m:rPr>
                      <w:rPr>
                        <w:rFonts w:ascii="Cambria Math" w:eastAsia="Times New Roman" w:hAnsi="Cambria Math" w:cs="Times New Roman"/>
                        <w:sz w:val="20"/>
                        <w:szCs w:val="20"/>
                      </w:rPr>
                      <m:t>≤</m:t>
                    </m:r>
                    <m:r>
                      <w:rPr>
                        <w:rFonts w:ascii="Cambria Math" w:eastAsia="Times New Roman" w:hAnsi="Cambria Math" w:cs="Times New Roman"/>
                        <w:sz w:val="20"/>
                        <w:szCs w:val="20"/>
                      </w:rPr>
                      <m:t>ε</m:t>
                    </m:r>
                  </m:e>
                </m:d>
              </m:oMath>
            </m:oMathPara>
          </w:p>
        </w:tc>
        <w:tc>
          <w:tcPr>
            <w:tcW w:w="1700" w:type="dxa"/>
            <w:vAlign w:val="center"/>
          </w:tcPr>
          <w:p w14:paraId="226C2F6F" w14:textId="74197126" w:rsidR="000D075E" w:rsidRPr="000D075E" w:rsidRDefault="000D075E" w:rsidP="000D075E">
            <w:pPr>
              <w:jc w:val="right"/>
              <w:rPr>
                <w:rFonts w:ascii="Times New Roman" w:hAnsi="Times New Roman" w:cs="Times New Roman"/>
                <w:sz w:val="20"/>
                <w:szCs w:val="20"/>
              </w:rPr>
            </w:pPr>
            <w:r w:rsidRPr="000D075E">
              <w:rPr>
                <w:rFonts w:ascii="Times New Roman" w:hAnsi="Times New Roman" w:cs="Times New Roman"/>
                <w:sz w:val="20"/>
                <w:szCs w:val="20"/>
              </w:rPr>
              <w:t>(</w:t>
            </w:r>
            <w:r w:rsidRPr="000D075E">
              <w:fldChar w:fldCharType="begin"/>
            </w:r>
            <w:r w:rsidRPr="000D075E">
              <w:rPr>
                <w:rFonts w:ascii="Times New Roman" w:hAnsi="Times New Roman" w:cs="Times New Roman"/>
                <w:sz w:val="20"/>
                <w:szCs w:val="20"/>
              </w:rPr>
              <w:instrText xml:space="preserve"> SEQ Equation \* ARABIC </w:instrText>
            </w:r>
            <w:r w:rsidRPr="000D075E">
              <w:fldChar w:fldCharType="separate"/>
            </w:r>
            <w:r w:rsidR="0070376B">
              <w:rPr>
                <w:rFonts w:ascii="Times New Roman" w:hAnsi="Times New Roman" w:cs="Times New Roman"/>
                <w:noProof/>
                <w:sz w:val="20"/>
                <w:szCs w:val="20"/>
              </w:rPr>
              <w:t>6</w:t>
            </w:r>
            <w:r w:rsidRPr="000D075E">
              <w:fldChar w:fldCharType="end"/>
            </w:r>
            <w:r w:rsidRPr="000D075E">
              <w:rPr>
                <w:rFonts w:ascii="Times New Roman" w:hAnsi="Times New Roman" w:cs="Times New Roman"/>
                <w:sz w:val="20"/>
                <w:szCs w:val="20"/>
              </w:rPr>
              <w:t>)</w:t>
            </w:r>
          </w:p>
        </w:tc>
      </w:tr>
    </w:tbl>
    <w:p w14:paraId="051B97A3" w14:textId="77777777" w:rsidR="000D075E" w:rsidRDefault="000D075E" w:rsidP="000D075E"/>
    <w:p w14:paraId="46D3099C" w14:textId="26361DA2" w:rsidR="000D075E" w:rsidRDefault="000D075E" w:rsidP="00FF6F99">
      <w:pPr>
        <w:ind w:firstLine="0"/>
      </w:pPr>
      <w:r w:rsidRPr="002D753A">
        <w:t xml:space="preserve">where </w:t>
      </w:r>
      <w:proofErr w:type="spellStart"/>
      <w:proofErr w:type="gramStart"/>
      <w:r w:rsidRPr="002D753A">
        <w:rPr>
          <w:i/>
          <w:iCs/>
        </w:rPr>
        <w:t>k</w:t>
      </w:r>
      <w:r w:rsidRPr="002D753A">
        <w:t>,</w:t>
      </w:r>
      <w:r w:rsidRPr="002D753A">
        <w:rPr>
          <w:i/>
          <w:iCs/>
        </w:rPr>
        <w:t>l</w:t>
      </w:r>
      <w:proofErr w:type="spellEnd"/>
      <w:proofErr w:type="gramEnd"/>
      <w:r w:rsidRPr="002D753A">
        <w:t>=</w:t>
      </w:r>
      <w:proofErr w:type="gramStart"/>
      <w:r w:rsidRPr="002D753A">
        <w:t>1,…</w:t>
      </w:r>
      <w:proofErr w:type="gramEnd"/>
      <w:r w:rsidRPr="002D753A">
        <w:t>,(</w:t>
      </w:r>
      <w:proofErr w:type="spellStart"/>
      <w:r w:rsidRPr="002D753A">
        <w:rPr>
          <w:i/>
          <w:iCs/>
        </w:rPr>
        <w:t>n</w:t>
      </w:r>
      <w:r w:rsidRPr="002D753A">
        <w:t>+</w:t>
      </w:r>
      <w:r w:rsidRPr="002D753A">
        <w:rPr>
          <w:i/>
          <w:iCs/>
        </w:rPr>
        <w:t>m</w:t>
      </w:r>
      <w:proofErr w:type="spellEnd"/>
      <w:r w:rsidRPr="002D753A">
        <w:t xml:space="preserve">). A point </w:t>
      </w:r>
      <m:oMath>
        <m:sSub>
          <m:sSubPr>
            <m:ctrlPr>
              <w:rPr>
                <w:rFonts w:ascii="Cambria Math" w:hAnsi="Cambria Math"/>
                <w:i/>
              </w:rPr>
            </m:ctrlPr>
          </m:sSubPr>
          <m:e>
            <m:r>
              <m:rPr>
                <m:sty m:val="b"/>
              </m:rPr>
              <w:rPr>
                <w:rFonts w:ascii="Cambria Math" w:hAnsi="Cambria Math"/>
              </w:rPr>
              <m:t>R</m:t>
            </m:r>
          </m:e>
          <m:sub>
            <m:r>
              <w:rPr>
                <w:rFonts w:ascii="Cambria Math" w:hAnsi="Cambria Math"/>
              </w:rPr>
              <m:t>k</m:t>
            </m:r>
          </m:sub>
        </m:sSub>
      </m:oMath>
      <w:r w:rsidRPr="002D753A">
        <w:rPr>
          <w:rStyle w:val="vlist-s"/>
          <w:szCs w:val="24"/>
        </w:rPr>
        <w:t>​</w:t>
      </w:r>
      <w:r w:rsidRPr="002D753A">
        <w:t xml:space="preserve"> is a </w:t>
      </w:r>
      <w:r w:rsidRPr="002D753A">
        <w:rPr>
          <w:rStyle w:val="Emphasis"/>
          <w:szCs w:val="24"/>
        </w:rPr>
        <w:t>core point</w:t>
      </w:r>
      <w:r w:rsidRPr="002D753A">
        <w:t xml:space="preserve"> if:</w:t>
      </w:r>
    </w:p>
    <w:p w14:paraId="0499C633" w14:textId="77777777" w:rsidR="000D075E" w:rsidRPr="002D753A" w:rsidRDefault="000D075E" w:rsidP="000D075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4244"/>
        <w:gridCol w:w="1365"/>
      </w:tblGrid>
      <w:tr w:rsidR="000D075E" w:rsidRPr="002D753A" w14:paraId="38FAC6B1" w14:textId="77777777" w:rsidTr="003B3EF6">
        <w:trPr>
          <w:trHeight w:val="227"/>
          <w:jc w:val="center"/>
        </w:trPr>
        <w:tc>
          <w:tcPr>
            <w:tcW w:w="1838" w:type="dxa"/>
            <w:vAlign w:val="center"/>
          </w:tcPr>
          <w:p w14:paraId="29247B9E" w14:textId="77777777" w:rsidR="000D075E" w:rsidRPr="002D753A" w:rsidRDefault="000D075E" w:rsidP="000D075E">
            <w:pPr>
              <w:rPr>
                <w:sz w:val="24"/>
                <w:szCs w:val="24"/>
              </w:rPr>
            </w:pPr>
          </w:p>
        </w:tc>
        <w:tc>
          <w:tcPr>
            <w:tcW w:w="5812" w:type="dxa"/>
            <w:vAlign w:val="center"/>
          </w:tcPr>
          <w:p w14:paraId="77A71CFC" w14:textId="77777777" w:rsidR="000D075E" w:rsidRPr="002D753A" w:rsidRDefault="00000000" w:rsidP="000D075E">
            <w:pPr>
              <w:rPr>
                <w:sz w:val="24"/>
                <w:szCs w:val="24"/>
              </w:rPr>
            </w:pPr>
            <m:oMathPara>
              <m:oMath>
                <m:d>
                  <m:dPr>
                    <m:begChr m:val="|"/>
                    <m:endChr m:val="|"/>
                    <m:ctrlPr>
                      <w:rPr>
                        <w:rFonts w:ascii="Cambria Math" w:eastAsia="Times New Roman" w:hAnsi="Cambria Math" w:cs="Times New Roman"/>
                        <w:iCs/>
                        <w:sz w:val="20"/>
                        <w:szCs w:val="20"/>
                      </w:rPr>
                    </m:ctrlPr>
                  </m:dPr>
                  <m:e>
                    <m:sSub>
                      <m:sSubPr>
                        <m:ctrlPr>
                          <w:rPr>
                            <w:rFonts w:ascii="Cambria Math" w:eastAsia="Times New Roman" w:hAnsi="Cambria Math" w:cs="Times New Roman"/>
                            <w:iCs/>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ε</m:t>
                        </m:r>
                      </m:sub>
                    </m:sSub>
                    <m:d>
                      <m:dPr>
                        <m:ctrlPr>
                          <w:rPr>
                            <w:rFonts w:ascii="Cambria Math" w:eastAsia="Times New Roman" w:hAnsi="Cambria Math" w:cs="Times New Roman"/>
                            <w:iCs/>
                            <w:sz w:val="20"/>
                            <w:szCs w:val="20"/>
                          </w:rPr>
                        </m:ctrlPr>
                      </m:dPr>
                      <m:e>
                        <m:sSub>
                          <m:sSubPr>
                            <m:ctrlPr>
                              <w:rPr>
                                <w:rFonts w:ascii="Cambria Math" w:eastAsia="Times New Roman" w:hAnsi="Cambria Math" w:cs="Times New Roman"/>
                                <w:iCs/>
                                <w:sz w:val="20"/>
                                <w:szCs w:val="20"/>
                              </w:rPr>
                            </m:ctrlPr>
                          </m:sSubPr>
                          <m:e>
                            <m:r>
                              <m:rPr>
                                <m:sty m:val="b"/>
                              </m:rPr>
                              <w:rPr>
                                <w:rFonts w:ascii="Cambria Math" w:eastAsia="Times New Roman" w:hAnsi="Cambria Math" w:cs="Times New Roman"/>
                                <w:sz w:val="20"/>
                                <w:szCs w:val="20"/>
                              </w:rPr>
                              <m:t>R</m:t>
                            </m:r>
                          </m:e>
                          <m:sub>
                            <m:r>
                              <w:rPr>
                                <w:rFonts w:ascii="Cambria Math" w:eastAsia="Times New Roman" w:hAnsi="Cambria Math" w:cs="Times New Roman"/>
                                <w:sz w:val="20"/>
                                <w:szCs w:val="20"/>
                              </w:rPr>
                              <m:t>k</m:t>
                            </m:r>
                          </m:sub>
                        </m:sSub>
                      </m:e>
                    </m:d>
                  </m:e>
                </m:d>
                <m:r>
                  <m:rPr>
                    <m:sty m:val="p"/>
                  </m:rPr>
                  <w:rPr>
                    <w:rFonts w:ascii="Cambria Math" w:eastAsia="Times New Roman" w:hAnsi="Cambria Math" w:cs="Times New Roman"/>
                    <w:sz w:val="20"/>
                    <w:szCs w:val="20"/>
                  </w:rPr>
                  <m:t>≥minPts</m:t>
                </m:r>
              </m:oMath>
            </m:oMathPara>
          </w:p>
        </w:tc>
        <w:tc>
          <w:tcPr>
            <w:tcW w:w="1700" w:type="dxa"/>
            <w:vAlign w:val="center"/>
          </w:tcPr>
          <w:p w14:paraId="610FDF6A" w14:textId="7A3AC834" w:rsidR="000D075E" w:rsidRPr="000D075E" w:rsidRDefault="000D075E" w:rsidP="000D075E">
            <w:pPr>
              <w:jc w:val="right"/>
              <w:rPr>
                <w:rFonts w:ascii="Times New Roman" w:hAnsi="Times New Roman" w:cs="Times New Roman"/>
                <w:sz w:val="20"/>
                <w:szCs w:val="20"/>
              </w:rPr>
            </w:pPr>
            <w:r w:rsidRPr="000D075E">
              <w:rPr>
                <w:rFonts w:ascii="Times New Roman" w:hAnsi="Times New Roman" w:cs="Times New Roman"/>
                <w:sz w:val="20"/>
                <w:szCs w:val="20"/>
              </w:rPr>
              <w:t>(</w:t>
            </w:r>
            <w:r w:rsidRPr="000D075E">
              <w:fldChar w:fldCharType="begin"/>
            </w:r>
            <w:r w:rsidRPr="000D075E">
              <w:rPr>
                <w:rFonts w:ascii="Times New Roman" w:hAnsi="Times New Roman" w:cs="Times New Roman"/>
                <w:sz w:val="20"/>
                <w:szCs w:val="20"/>
              </w:rPr>
              <w:instrText xml:space="preserve"> SEQ Equation \* ARABIC </w:instrText>
            </w:r>
            <w:r w:rsidRPr="000D075E">
              <w:fldChar w:fldCharType="separate"/>
            </w:r>
            <w:r w:rsidR="0070376B">
              <w:rPr>
                <w:rFonts w:ascii="Times New Roman" w:hAnsi="Times New Roman" w:cs="Times New Roman"/>
                <w:noProof/>
                <w:sz w:val="20"/>
                <w:szCs w:val="20"/>
              </w:rPr>
              <w:t>7</w:t>
            </w:r>
            <w:r w:rsidRPr="000D075E">
              <w:fldChar w:fldCharType="end"/>
            </w:r>
            <w:r w:rsidRPr="000D075E">
              <w:rPr>
                <w:rFonts w:ascii="Times New Roman" w:hAnsi="Times New Roman" w:cs="Times New Roman"/>
                <w:sz w:val="20"/>
                <w:szCs w:val="20"/>
              </w:rPr>
              <w:t>)</w:t>
            </w:r>
          </w:p>
        </w:tc>
      </w:tr>
    </w:tbl>
    <w:p w14:paraId="68162839" w14:textId="77777777" w:rsidR="000D075E" w:rsidRPr="000D075E" w:rsidRDefault="000D075E" w:rsidP="000D075E">
      <w:pPr>
        <w:pStyle w:val="p1a"/>
      </w:pPr>
    </w:p>
    <w:p w14:paraId="4FD3A966" w14:textId="79F1858C" w:rsidR="000D075E" w:rsidRDefault="000D075E" w:rsidP="000D075E">
      <w:r w:rsidRPr="002D753A">
        <w:rPr>
          <w:szCs w:val="24"/>
        </w:rPr>
        <w:t xml:space="preserve">Accordingly, </w:t>
      </w:r>
      <m:oMath>
        <m:sSub>
          <m:sSubPr>
            <m:ctrlPr>
              <w:rPr>
                <w:rFonts w:ascii="Cambria Math" w:hAnsi="Cambria Math"/>
                <w:i/>
                <w:szCs w:val="24"/>
              </w:rPr>
            </m:ctrlPr>
          </m:sSubPr>
          <m:e>
            <m:r>
              <m:rPr>
                <m:sty m:val="b"/>
              </m:rPr>
              <w:rPr>
                <w:rFonts w:ascii="Cambria Math" w:hAnsi="Cambria Math"/>
                <w:szCs w:val="24"/>
              </w:rPr>
              <m:t>R</m:t>
            </m:r>
          </m:e>
          <m:sub>
            <m:r>
              <w:rPr>
                <w:rFonts w:ascii="Cambria Math" w:hAnsi="Cambria Math"/>
                <w:szCs w:val="24"/>
              </w:rPr>
              <m:t>l</m:t>
            </m:r>
          </m:sub>
        </m:sSub>
      </m:oMath>
      <w:r w:rsidRPr="002D753A">
        <w:rPr>
          <w:rFonts w:eastAsiaTheme="minorEastAsia"/>
          <w:szCs w:val="24"/>
        </w:rPr>
        <w:t xml:space="preserve"> </w:t>
      </w:r>
      <w:r w:rsidRPr="002D753A">
        <w:rPr>
          <w:szCs w:val="24"/>
        </w:rPr>
        <w:t xml:space="preserve">is directly density-reachable from </w:t>
      </w:r>
      <m:oMath>
        <m:sSub>
          <m:sSubPr>
            <m:ctrlPr>
              <w:rPr>
                <w:rFonts w:ascii="Cambria Math" w:hAnsi="Cambria Math"/>
                <w:i/>
                <w:szCs w:val="24"/>
              </w:rPr>
            </m:ctrlPr>
          </m:sSubPr>
          <m:e>
            <m:r>
              <m:rPr>
                <m:sty m:val="b"/>
              </m:rPr>
              <w:rPr>
                <w:rFonts w:ascii="Cambria Math" w:hAnsi="Cambria Math"/>
                <w:szCs w:val="24"/>
              </w:rPr>
              <m:t>R</m:t>
            </m:r>
          </m:e>
          <m:sub>
            <m:r>
              <w:rPr>
                <w:rFonts w:ascii="Cambria Math" w:hAnsi="Cambria Math"/>
                <w:szCs w:val="24"/>
              </w:rPr>
              <m:t>k</m:t>
            </m:r>
          </m:sub>
        </m:sSub>
      </m:oMath>
      <w:r w:rsidRPr="002D753A">
        <w:rPr>
          <w:rFonts w:eastAsiaTheme="minorEastAsia"/>
          <w:szCs w:val="24"/>
        </w:rPr>
        <w:t xml:space="preserve"> if </w:t>
      </w:r>
      <m:oMath>
        <m:sSub>
          <m:sSubPr>
            <m:ctrlPr>
              <w:rPr>
                <w:rFonts w:ascii="Cambria Math" w:hAnsi="Cambria Math"/>
                <w:i/>
                <w:szCs w:val="24"/>
              </w:rPr>
            </m:ctrlPr>
          </m:sSubPr>
          <m:e>
            <m:r>
              <m:rPr>
                <m:sty m:val="b"/>
              </m:rPr>
              <w:rPr>
                <w:rFonts w:ascii="Cambria Math" w:hAnsi="Cambria Math"/>
                <w:szCs w:val="24"/>
              </w:rPr>
              <m:t>R</m:t>
            </m:r>
          </m:e>
          <m:sub>
            <m:r>
              <w:rPr>
                <w:rFonts w:ascii="Cambria Math" w:hAnsi="Cambria Math"/>
                <w:szCs w:val="24"/>
              </w:rPr>
              <m:t>k</m:t>
            </m:r>
          </m:sub>
        </m:sSub>
      </m:oMath>
      <w:r w:rsidRPr="002D753A">
        <w:rPr>
          <w:rFonts w:eastAsiaTheme="minorEastAsia"/>
          <w:szCs w:val="24"/>
        </w:rPr>
        <w:t xml:space="preserve"> </w:t>
      </w:r>
      <w:r w:rsidRPr="002D753A">
        <w:rPr>
          <w:szCs w:val="24"/>
        </w:rPr>
        <w:t xml:space="preserve">is a core point and </w:t>
      </w:r>
      <m:oMath>
        <m:sSub>
          <m:sSubPr>
            <m:ctrlPr>
              <w:rPr>
                <w:rFonts w:ascii="Cambria Math" w:hAnsi="Cambria Math"/>
                <w:i/>
                <w:szCs w:val="24"/>
              </w:rPr>
            </m:ctrlPr>
          </m:sSubPr>
          <m:e>
            <m:r>
              <m:rPr>
                <m:sty m:val="b"/>
              </m:rPr>
              <w:rPr>
                <w:rFonts w:ascii="Cambria Math" w:hAnsi="Cambria Math"/>
                <w:szCs w:val="24"/>
              </w:rPr>
              <m:t>R</m:t>
            </m:r>
          </m:e>
          <m:sub>
            <m:r>
              <w:rPr>
                <w:rFonts w:ascii="Cambria Math" w:hAnsi="Cambria Math"/>
                <w:szCs w:val="24"/>
              </w:rPr>
              <m:t>l</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ε</m:t>
            </m:r>
          </m:sub>
        </m:sSub>
        <m:d>
          <m:dPr>
            <m:ctrlPr>
              <w:rPr>
                <w:rFonts w:ascii="Cambria Math" w:hAnsi="Cambria Math"/>
                <w:i/>
                <w:szCs w:val="24"/>
              </w:rPr>
            </m:ctrlPr>
          </m:dPr>
          <m:e>
            <m:sSub>
              <m:sSubPr>
                <m:ctrlPr>
                  <w:rPr>
                    <w:rFonts w:ascii="Cambria Math" w:hAnsi="Cambria Math"/>
                    <w:i/>
                    <w:szCs w:val="24"/>
                  </w:rPr>
                </m:ctrlPr>
              </m:sSubPr>
              <m:e>
                <m:r>
                  <m:rPr>
                    <m:sty m:val="b"/>
                  </m:rPr>
                  <w:rPr>
                    <w:rFonts w:ascii="Cambria Math" w:hAnsi="Cambria Math"/>
                    <w:szCs w:val="24"/>
                  </w:rPr>
                  <m:t>R</m:t>
                </m:r>
              </m:e>
              <m:sub>
                <m:r>
                  <w:rPr>
                    <w:rFonts w:ascii="Cambria Math" w:hAnsi="Cambria Math"/>
                    <w:szCs w:val="24"/>
                  </w:rPr>
                  <m:t>k</m:t>
                </m:r>
              </m:sub>
            </m:sSub>
          </m:e>
        </m:d>
      </m:oMath>
      <w:r w:rsidRPr="002D753A">
        <w:rPr>
          <w:rFonts w:eastAsiaTheme="minorEastAsia"/>
          <w:szCs w:val="24"/>
        </w:rPr>
        <w:t xml:space="preserve">. Moreover, </w:t>
      </w:r>
      <w:r w:rsidRPr="002D753A">
        <w:rPr>
          <w:szCs w:val="24"/>
        </w:rPr>
        <w:t xml:space="preserve">a point </w:t>
      </w:r>
      <m:oMath>
        <m:sSub>
          <m:sSubPr>
            <m:ctrlPr>
              <w:rPr>
                <w:rFonts w:ascii="Cambria Math" w:hAnsi="Cambria Math"/>
                <w:i/>
                <w:szCs w:val="24"/>
              </w:rPr>
            </m:ctrlPr>
          </m:sSubPr>
          <m:e>
            <m:r>
              <m:rPr>
                <m:sty m:val="b"/>
              </m:rPr>
              <w:rPr>
                <w:rFonts w:ascii="Cambria Math" w:hAnsi="Cambria Math"/>
                <w:szCs w:val="24"/>
              </w:rPr>
              <m:t>R</m:t>
            </m:r>
          </m:e>
          <m:sub>
            <m:r>
              <w:rPr>
                <w:rFonts w:ascii="Cambria Math" w:hAnsi="Cambria Math"/>
                <w:szCs w:val="24"/>
              </w:rPr>
              <m:t>l</m:t>
            </m:r>
          </m:sub>
        </m:sSub>
      </m:oMath>
      <w:r w:rsidRPr="002D753A">
        <w:rPr>
          <w:rFonts w:eastAsiaTheme="minorEastAsia"/>
          <w:szCs w:val="24"/>
        </w:rPr>
        <w:t xml:space="preserve"> </w:t>
      </w:r>
      <w:r w:rsidR="000F2464">
        <w:rPr>
          <w:rFonts w:eastAsiaTheme="minorEastAsia"/>
          <w:szCs w:val="24"/>
        </w:rPr>
        <w:t>i</w:t>
      </w:r>
      <w:r w:rsidRPr="002D753A">
        <w:rPr>
          <w:szCs w:val="24"/>
        </w:rPr>
        <w:t xml:space="preserve">s density-reachable from </w:t>
      </w:r>
      <m:oMath>
        <m:sSub>
          <m:sSubPr>
            <m:ctrlPr>
              <w:rPr>
                <w:rFonts w:ascii="Cambria Math" w:hAnsi="Cambria Math"/>
                <w:i/>
                <w:szCs w:val="24"/>
              </w:rPr>
            </m:ctrlPr>
          </m:sSubPr>
          <m:e>
            <m:r>
              <m:rPr>
                <m:sty m:val="b"/>
              </m:rPr>
              <w:rPr>
                <w:rFonts w:ascii="Cambria Math" w:hAnsi="Cambria Math"/>
                <w:szCs w:val="24"/>
              </w:rPr>
              <m:t>R</m:t>
            </m:r>
          </m:e>
          <m:sub>
            <m:r>
              <w:rPr>
                <w:rFonts w:ascii="Cambria Math" w:hAnsi="Cambria Math"/>
                <w:szCs w:val="24"/>
              </w:rPr>
              <m:t>k</m:t>
            </m:r>
          </m:sub>
        </m:sSub>
      </m:oMath>
      <w:r w:rsidRPr="002D753A">
        <w:rPr>
          <w:rFonts w:eastAsiaTheme="minorEastAsia"/>
          <w:szCs w:val="24"/>
        </w:rPr>
        <w:t xml:space="preserve"> </w:t>
      </w:r>
      <w:r w:rsidRPr="002D753A">
        <w:rPr>
          <w:szCs w:val="24"/>
        </w:rPr>
        <w:t xml:space="preserve">if there exists a chain of directly density-reachable points from </w:t>
      </w:r>
      <m:oMath>
        <m:sSub>
          <m:sSubPr>
            <m:ctrlPr>
              <w:rPr>
                <w:rFonts w:ascii="Cambria Math" w:hAnsi="Cambria Math"/>
                <w:i/>
                <w:szCs w:val="24"/>
              </w:rPr>
            </m:ctrlPr>
          </m:sSubPr>
          <m:e>
            <m:r>
              <m:rPr>
                <m:sty m:val="b"/>
              </m:rPr>
              <w:rPr>
                <w:rFonts w:ascii="Cambria Math" w:hAnsi="Cambria Math"/>
                <w:szCs w:val="24"/>
              </w:rPr>
              <m:t>R</m:t>
            </m:r>
          </m:e>
          <m:sub>
            <m:r>
              <w:rPr>
                <w:rFonts w:ascii="Cambria Math" w:hAnsi="Cambria Math"/>
                <w:szCs w:val="24"/>
              </w:rPr>
              <m:t>k</m:t>
            </m:r>
          </m:sub>
        </m:sSub>
      </m:oMath>
      <w:r w:rsidRPr="002D753A">
        <w:rPr>
          <w:rFonts w:eastAsiaTheme="minorEastAsia"/>
          <w:szCs w:val="24"/>
        </w:rPr>
        <w:t xml:space="preserve"> to </w:t>
      </w:r>
      <m:oMath>
        <m:sSub>
          <m:sSubPr>
            <m:ctrlPr>
              <w:rPr>
                <w:rFonts w:ascii="Cambria Math" w:hAnsi="Cambria Math"/>
                <w:i/>
                <w:szCs w:val="24"/>
              </w:rPr>
            </m:ctrlPr>
          </m:sSubPr>
          <m:e>
            <m:r>
              <m:rPr>
                <m:sty m:val="b"/>
              </m:rPr>
              <w:rPr>
                <w:rFonts w:ascii="Cambria Math" w:hAnsi="Cambria Math"/>
                <w:szCs w:val="24"/>
              </w:rPr>
              <m:t>R</m:t>
            </m:r>
          </m:e>
          <m:sub>
            <m:r>
              <w:rPr>
                <w:rFonts w:ascii="Cambria Math" w:hAnsi="Cambria Math"/>
                <w:szCs w:val="24"/>
              </w:rPr>
              <m:t>l</m:t>
            </m:r>
          </m:sub>
        </m:sSub>
      </m:oMath>
      <w:r w:rsidRPr="002D753A">
        <w:rPr>
          <w:rFonts w:eastAsiaTheme="minorEastAsia"/>
          <w:szCs w:val="24"/>
        </w:rPr>
        <w:t xml:space="preserve">. With these descriptions, the DBSCAN clustering algorithm </w:t>
      </w:r>
      <w:r w:rsidRPr="002D753A">
        <w:rPr>
          <w:szCs w:val="24"/>
        </w:rPr>
        <w:t xml:space="preserve">divide the reconstructed errors into two clusters by grouping all density-connected points, while points not belonging to any cluster are labeled as </w:t>
      </w:r>
      <w:r w:rsidRPr="002D753A">
        <w:rPr>
          <w:rStyle w:val="Emphasis"/>
          <w:szCs w:val="24"/>
        </w:rPr>
        <w:t>noise</w:t>
      </w:r>
      <w:r w:rsidRPr="002D753A">
        <w:rPr>
          <w:szCs w:val="24"/>
        </w:rPr>
        <w:t xml:space="preserve">, i.e., interpreted as anomalies in this study. </w:t>
      </w:r>
      <w:r>
        <w:rPr>
          <w:szCs w:val="24"/>
        </w:rPr>
        <w:t>Therefore, the anomaly detection rule based on t</w:t>
      </w:r>
      <w:r>
        <w:t>he DBSCAN algorithm output is a label vector in the following form: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4540"/>
        <w:gridCol w:w="1251"/>
      </w:tblGrid>
      <w:tr w:rsidR="000D075E" w:rsidRPr="000D075E" w14:paraId="1E5B683D" w14:textId="77777777" w:rsidTr="003B3EF6">
        <w:trPr>
          <w:trHeight w:val="227"/>
          <w:jc w:val="center"/>
        </w:trPr>
        <w:tc>
          <w:tcPr>
            <w:tcW w:w="1838" w:type="dxa"/>
            <w:vAlign w:val="center"/>
          </w:tcPr>
          <w:p w14:paraId="061686D9" w14:textId="77777777" w:rsidR="000D075E" w:rsidRPr="002D753A" w:rsidRDefault="000D075E" w:rsidP="003B3EF6">
            <w:pPr>
              <w:spacing w:before="120" w:after="120" w:line="276" w:lineRule="auto"/>
              <w:rPr>
                <w:rFonts w:ascii="Times New Roman" w:eastAsia="Times New Roman" w:hAnsi="Times New Roman" w:cs="Times New Roman"/>
                <w:sz w:val="24"/>
                <w:szCs w:val="24"/>
              </w:rPr>
            </w:pPr>
          </w:p>
        </w:tc>
        <w:tc>
          <w:tcPr>
            <w:tcW w:w="5812" w:type="dxa"/>
            <w:vAlign w:val="center"/>
          </w:tcPr>
          <w:p w14:paraId="293FEFAD" w14:textId="77777777" w:rsidR="000D075E" w:rsidRPr="002D753A" w:rsidRDefault="00000000" w:rsidP="003B3EF6">
            <w:pPr>
              <w:spacing w:before="120" w:after="120" w:line="276"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Cs/>
                        <w:sz w:val="24"/>
                        <w:szCs w:val="24"/>
                      </w:rPr>
                    </m:ctrlPr>
                  </m:sSubPr>
                  <m:e>
                    <m:r>
                      <m:rPr>
                        <m:sty m:val="b"/>
                      </m:rPr>
                      <w:rPr>
                        <w:rFonts w:ascii="Cambria Math" w:eastAsia="Times New Roman" w:hAnsi="Cambria Math" w:cs="Times New Roman"/>
                        <w:sz w:val="24"/>
                        <w:szCs w:val="24"/>
                      </w:rPr>
                      <m:t>c</m:t>
                    </m:r>
                  </m:e>
                  <m:sub>
                    <m:r>
                      <w:rPr>
                        <w:rFonts w:ascii="Cambria Math" w:eastAsia="Times New Roman" w:hAnsi="Cambria Math" w:cs="Times New Roman"/>
                        <w:sz w:val="24"/>
                        <w:szCs w:val="24"/>
                      </w:rPr>
                      <m:t>idx</m:t>
                    </m:r>
                  </m:sub>
                </m:sSub>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n</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n+1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n+m</m:t>
                        </m:r>
                      </m:sub>
                    </m:sSub>
                  </m:e>
                </m:d>
              </m:oMath>
            </m:oMathPara>
          </w:p>
        </w:tc>
        <w:tc>
          <w:tcPr>
            <w:tcW w:w="1700" w:type="dxa"/>
            <w:vAlign w:val="center"/>
          </w:tcPr>
          <w:p w14:paraId="14DA8635" w14:textId="49B9C72E" w:rsidR="000D075E" w:rsidRPr="000D075E" w:rsidRDefault="000D075E" w:rsidP="003B3EF6">
            <w:pPr>
              <w:spacing w:before="120" w:after="120" w:line="276" w:lineRule="auto"/>
              <w:ind w:right="-110"/>
              <w:jc w:val="right"/>
              <w:rPr>
                <w:rFonts w:ascii="Times New Roman" w:eastAsia="Times New Roman" w:hAnsi="Times New Roman" w:cs="Times New Roman"/>
                <w:sz w:val="20"/>
                <w:szCs w:val="20"/>
              </w:rPr>
            </w:pPr>
            <w:r w:rsidRPr="000D075E">
              <w:rPr>
                <w:rFonts w:ascii="Times New Roman" w:hAnsi="Times New Roman" w:cs="Times New Roman"/>
                <w:sz w:val="20"/>
                <w:szCs w:val="20"/>
              </w:rPr>
              <w:t>(</w:t>
            </w:r>
            <w:r w:rsidRPr="000D075E">
              <w:fldChar w:fldCharType="begin"/>
            </w:r>
            <w:r w:rsidRPr="000D075E">
              <w:rPr>
                <w:rFonts w:ascii="Times New Roman" w:hAnsi="Times New Roman" w:cs="Times New Roman"/>
                <w:sz w:val="20"/>
                <w:szCs w:val="20"/>
              </w:rPr>
              <w:instrText xml:space="preserve"> SEQ Equation \* ARABIC </w:instrText>
            </w:r>
            <w:r w:rsidRPr="000D075E">
              <w:fldChar w:fldCharType="separate"/>
            </w:r>
            <w:r w:rsidR="0070376B">
              <w:rPr>
                <w:rFonts w:ascii="Times New Roman" w:hAnsi="Times New Roman" w:cs="Times New Roman"/>
                <w:noProof/>
                <w:sz w:val="20"/>
                <w:szCs w:val="20"/>
              </w:rPr>
              <w:t>8</w:t>
            </w:r>
            <w:r w:rsidRPr="000D075E">
              <w:fldChar w:fldCharType="end"/>
            </w:r>
            <w:r w:rsidRPr="000D075E">
              <w:rPr>
                <w:rFonts w:ascii="Times New Roman" w:hAnsi="Times New Roman" w:cs="Times New Roman"/>
                <w:sz w:val="20"/>
                <w:szCs w:val="20"/>
              </w:rPr>
              <w:t>)</w:t>
            </w:r>
          </w:p>
        </w:tc>
      </w:tr>
    </w:tbl>
    <w:p w14:paraId="0F12432A" w14:textId="7811D1F6" w:rsidR="00BC028E" w:rsidRDefault="000D075E" w:rsidP="00FF6F99">
      <w:pPr>
        <w:ind w:firstLine="0"/>
        <w:rPr>
          <w:rFonts w:eastAsiaTheme="minorEastAsia"/>
          <w:szCs w:val="24"/>
        </w:rPr>
      </w:pPr>
      <w:r>
        <w:rPr>
          <w:szCs w:val="24"/>
        </w:rPr>
        <w:t xml:space="preserve">where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-1,1</m:t>
            </m:r>
          </m:e>
        </m:d>
      </m:oMath>
      <w:r>
        <w:rPr>
          <w:rFonts w:eastAsiaTheme="minorEastAsia"/>
          <w:szCs w:val="24"/>
        </w:rPr>
        <w:t xml:space="preserve">. </w:t>
      </w:r>
    </w:p>
    <w:p w14:paraId="40B4954A" w14:textId="526E5E32" w:rsidR="00B23996" w:rsidRPr="00B23996" w:rsidRDefault="000D075E" w:rsidP="00FF6F99">
      <w:pPr>
        <w:pStyle w:val="heading1"/>
      </w:pPr>
      <w:r>
        <w:rPr>
          <w:rFonts w:eastAsiaTheme="minorEastAsia"/>
        </w:rPr>
        <w:t>Experimental Validation</w:t>
      </w:r>
    </w:p>
    <w:p w14:paraId="2A3B93B3" w14:textId="78C0CB0A" w:rsidR="00B23996" w:rsidRDefault="000D075E" w:rsidP="007C4102">
      <w:pPr>
        <w:spacing w:after="240"/>
        <w:ind w:firstLine="0"/>
      </w:pPr>
      <w:r>
        <w:t xml:space="preserve">This section utilizes the long-term modal frequencies of the Z24 Bridge to validate the capabilities and effectiveness of the proposed REDCAN method. In the SHM </w:t>
      </w:r>
      <w:r>
        <w:lastRenderedPageBreak/>
        <w:t>communit</w:t>
      </w:r>
      <w:r w:rsidR="00BC028E">
        <w:t>y</w:t>
      </w:r>
      <w:r>
        <w:t>, this structure is a well-known benchmark for verifying damage detection techniques under environmental variability. The Z24 bridge was</w:t>
      </w:r>
      <w:r w:rsidR="00BC028E">
        <w:t xml:space="preserve"> located</w:t>
      </w:r>
      <w:r>
        <w:t xml:space="preserve"> in the canton</w:t>
      </w:r>
      <w:r w:rsidR="00F14981">
        <w:t xml:space="preserve"> of</w:t>
      </w:r>
      <w:r>
        <w:t xml:space="preserve"> Bern near Solothurn, Switzerland. It was part of the road connection between the villages of </w:t>
      </w:r>
      <w:proofErr w:type="spellStart"/>
      <w:r>
        <w:t>Koppigen</w:t>
      </w:r>
      <w:proofErr w:type="spellEnd"/>
      <w:r>
        <w:t xml:space="preserve"> and </w:t>
      </w:r>
      <w:proofErr w:type="spellStart"/>
      <w:r>
        <w:t>Utzenstorf</w:t>
      </w:r>
      <w:proofErr w:type="spellEnd"/>
      <w:r>
        <w:t xml:space="preserve">, </w:t>
      </w:r>
      <w:r w:rsidR="00BC028E">
        <w:t>crossing over</w:t>
      </w:r>
      <w:r>
        <w:t xml:space="preserve"> the A1 highway between Bern and Zürich. It was a classical post-tensioned concrete two-cell box-girder bridge with a main span of 30 m and two side spans of 14 meters, as shown in </w:t>
      </w:r>
      <w:r>
        <w:fldChar w:fldCharType="begin"/>
      </w:r>
      <w:r>
        <w:instrText xml:space="preserve"> REF _Ref196830860 \h </w:instrText>
      </w:r>
      <w:r>
        <w:fldChar w:fldCharType="separate"/>
      </w:r>
      <w:r w:rsidR="0070376B" w:rsidRPr="007D393A">
        <w:rPr>
          <w:b/>
          <w:bCs/>
        </w:rPr>
        <w:t xml:space="preserve">Fig. </w:t>
      </w:r>
      <w:r w:rsidR="0070376B">
        <w:rPr>
          <w:b/>
          <w:bCs/>
          <w:noProof/>
        </w:rPr>
        <w:t>2</w:t>
      </w:r>
      <w:r>
        <w:fldChar w:fldCharType="end"/>
      </w:r>
      <w:r>
        <w:t xml:space="preserve">. The bridge was built as a freestanding frame with the approaches backfilled later. Both abutments consisted of triple concrete columns connected </w:t>
      </w:r>
      <w:r w:rsidR="00BC028E">
        <w:t>by</w:t>
      </w:r>
      <w:r>
        <w:t xml:space="preserve"> concrete hinges to the girder. Both intermediate supports were concrete piers </w:t>
      </w:r>
      <w:r w:rsidR="00BC028E">
        <w:t>rigidly connected</w:t>
      </w:r>
      <w:r w:rsidR="00640509">
        <w:t xml:space="preserve"> to</w:t>
      </w:r>
      <w:r>
        <w:t xml:space="preserve"> the girder. An extension of the bridge girder at the approaches provided a sliding slab. All supports were rotated with respect to the longitudinal axis, which yielded a skew bridge. The bridge, which dated </w:t>
      </w:r>
      <w:r w:rsidR="00640509">
        <w:t>back to</w:t>
      </w:r>
      <w:r>
        <w:t xml:space="preserve"> 1963, was demolished at the end of 1998 because a new railway adjacent to the highway required a new bridge with a larger side span.</w:t>
      </w:r>
    </w:p>
    <w:p w14:paraId="471974EB" w14:textId="36A73CEE" w:rsidR="000D075E" w:rsidRDefault="000D075E" w:rsidP="00B23996">
      <w:pPr>
        <w:ind w:firstLine="0"/>
      </w:pPr>
      <w:r>
        <w:rPr>
          <w:noProof/>
          <w:lang w:bidi="fa-IR"/>
        </w:rPr>
        <w:drawing>
          <wp:inline distT="0" distB="0" distL="0" distR="0" wp14:anchorId="48D93CF8" wp14:editId="2DD2A7B4">
            <wp:extent cx="4392930" cy="2397100"/>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2930" cy="2397100"/>
                    </a:xfrm>
                    <a:prstGeom prst="rect">
                      <a:avLst/>
                    </a:prstGeom>
                    <a:noFill/>
                    <a:ln>
                      <a:noFill/>
                    </a:ln>
                  </pic:spPr>
                </pic:pic>
              </a:graphicData>
            </a:graphic>
          </wp:inline>
        </w:drawing>
      </w:r>
    </w:p>
    <w:p w14:paraId="1050E521" w14:textId="7B3556DA" w:rsidR="000D075E" w:rsidRPr="000D075E" w:rsidRDefault="000D075E" w:rsidP="007D393A">
      <w:pPr>
        <w:pStyle w:val="Caption"/>
        <w:jc w:val="both"/>
        <w:rPr>
          <w:rFonts w:eastAsia="Times New Roman"/>
          <w:sz w:val="20"/>
          <w:szCs w:val="20"/>
        </w:rPr>
      </w:pPr>
      <w:bookmarkStart w:id="2" w:name="_Ref196830860"/>
      <w:r w:rsidRPr="007D393A">
        <w:rPr>
          <w:rFonts w:eastAsia="Times New Roman"/>
          <w:b/>
          <w:bCs/>
          <w:sz w:val="20"/>
          <w:szCs w:val="20"/>
        </w:rPr>
        <w:t xml:space="preserve">Fig. </w:t>
      </w:r>
      <w:r w:rsidRPr="007D393A">
        <w:rPr>
          <w:rFonts w:eastAsia="Times New Roman"/>
          <w:b/>
          <w:bCs/>
          <w:sz w:val="20"/>
          <w:szCs w:val="20"/>
        </w:rPr>
        <w:fldChar w:fldCharType="begin"/>
      </w:r>
      <w:r w:rsidRPr="007D393A">
        <w:rPr>
          <w:rFonts w:eastAsia="Times New Roman"/>
          <w:b/>
          <w:bCs/>
          <w:sz w:val="20"/>
          <w:szCs w:val="20"/>
        </w:rPr>
        <w:instrText xml:space="preserve"> SEQ Fig. \* ARABIC </w:instrText>
      </w:r>
      <w:r w:rsidRPr="007D393A">
        <w:rPr>
          <w:rFonts w:eastAsia="Times New Roman"/>
          <w:b/>
          <w:bCs/>
          <w:sz w:val="20"/>
          <w:szCs w:val="20"/>
        </w:rPr>
        <w:fldChar w:fldCharType="separate"/>
      </w:r>
      <w:r w:rsidR="0070376B">
        <w:rPr>
          <w:rFonts w:eastAsia="Times New Roman"/>
          <w:b/>
          <w:bCs/>
          <w:noProof/>
          <w:sz w:val="20"/>
          <w:szCs w:val="20"/>
        </w:rPr>
        <w:t>2</w:t>
      </w:r>
      <w:r w:rsidRPr="007D393A">
        <w:rPr>
          <w:rFonts w:eastAsia="Times New Roman"/>
          <w:b/>
          <w:bCs/>
          <w:sz w:val="20"/>
          <w:szCs w:val="20"/>
        </w:rPr>
        <w:fldChar w:fldCharType="end"/>
      </w:r>
      <w:bookmarkEnd w:id="2"/>
      <w:r w:rsidRPr="007D393A">
        <w:rPr>
          <w:rFonts w:eastAsia="Times New Roman"/>
          <w:b/>
          <w:bCs/>
          <w:sz w:val="20"/>
          <w:szCs w:val="20"/>
        </w:rPr>
        <w:t>.</w:t>
      </w:r>
      <w:r w:rsidRPr="000D075E">
        <w:rPr>
          <w:rFonts w:eastAsia="Times New Roman"/>
          <w:sz w:val="20"/>
          <w:szCs w:val="20"/>
        </w:rPr>
        <w:t xml:space="preserve"> Front view (a), top view (b), and cross-section (c) of the Z24 Bridge</w:t>
      </w:r>
    </w:p>
    <w:p w14:paraId="5CE93880" w14:textId="5F6E4997" w:rsidR="007D393A" w:rsidRDefault="007D393A" w:rsidP="007D393A">
      <w:r>
        <w:t xml:space="preserve">For the dynamic monitoring of the Z24 bridge conducted </w:t>
      </w:r>
      <w:r w:rsidR="00640509">
        <w:t>over</w:t>
      </w:r>
      <w:r>
        <w:t xml:space="preserve"> a period of 12 months,</w:t>
      </w:r>
      <w:r w:rsidRPr="00D72684">
        <w:t xml:space="preserve"> </w:t>
      </w:r>
      <w:r>
        <w:t xml:space="preserve">one of the key environmental conditions that were measured was temperature. The measurements included air temperature and deck temperature, which provided valuable insights into the effect of temperature on the bridge's stiffness. In this regard, the Young’s modulus increased rapidly up to the temperatures </w:t>
      </w:r>
      <w:r w:rsidR="00640509" w:rsidRPr="008E1E8F">
        <w:t>above</w:t>
      </w:r>
      <w:r w:rsidR="00640509">
        <w:t xml:space="preserve"> 0</w:t>
      </w:r>
      <w:r w:rsidR="00640509" w:rsidRPr="008E1E8F">
        <w:t>°C</w:t>
      </w:r>
      <w:r w:rsidR="00640509">
        <w:t xml:space="preserve"> </w:t>
      </w:r>
      <w:r>
        <w:t>(i.e., freezing events), and then decrease</w:t>
      </w:r>
      <w:r w:rsidR="00640509">
        <w:t>d</w:t>
      </w:r>
      <w:r>
        <w:t xml:space="preserve"> more slowly or becomes constant at higher temperatures. On the other hand, various damage patterns were defined to simulate the occurrence of realistic damage in concrete bridges. Having considered the modal frequencies of the undamaged and damaged conditions, </w:t>
      </w:r>
      <w:r>
        <w:fldChar w:fldCharType="begin"/>
      </w:r>
      <w:r>
        <w:instrText xml:space="preserve"> REF _Ref196830843 \h </w:instrText>
      </w:r>
      <w:r>
        <w:fldChar w:fldCharType="separate"/>
      </w:r>
      <w:r w:rsidR="0070376B" w:rsidRPr="007D393A">
        <w:t xml:space="preserve"> </w:t>
      </w:r>
      <w:r w:rsidR="0070376B" w:rsidRPr="007D393A">
        <w:rPr>
          <w:b/>
          <w:sz w:val="18"/>
        </w:rPr>
        <w:t xml:space="preserve">Fig. </w:t>
      </w:r>
      <w:r w:rsidR="0070376B">
        <w:rPr>
          <w:b/>
          <w:noProof/>
          <w:sz w:val="18"/>
        </w:rPr>
        <w:t>3</w:t>
      </w:r>
      <w:r>
        <w:fldChar w:fldCharType="end"/>
      </w:r>
      <w:r>
        <w:t xml:space="preserve"> shows the time series evolution of these dynamic features for the four modes during the monitoring period of the Z24 bridge. As can be seen, the main reasons for changes in the modal frequencies of the undamaged state are related to the temperature variability, especially freezing events emerging as sharp increases around the observations 500</w:t>
      </w:r>
      <w:r w:rsidR="00640509">
        <w:t xml:space="preserve"> and </w:t>
      </w:r>
      <w:r>
        <w:t xml:space="preserve">1500 </w:t>
      </w:r>
      <w:r>
        <w:fldChar w:fldCharType="begin"/>
      </w:r>
      <w:r>
        <w:instrText xml:space="preserve"> ADDIN EN.CITE &lt;EndNote&gt;&lt;Cite&gt;&lt;Author&gt;Entezami&lt;/Author&gt;&lt;Year&gt;2024&lt;/Year&gt;&lt;RecNum&gt;3024&lt;/RecNum&gt;&lt;DisplayText&gt;[9]&lt;/DisplayText&gt;&lt;record&gt;&lt;rec-number&gt;3024&lt;/rec-number&gt;&lt;foreign-keys&gt;&lt;key app="EN" db-id="ttpsppas4a5wvfea9xr529sw20d5s2r2fsss" timestamp="1724443477"&gt;3024&lt;/key&gt;&lt;/foreign-keys&gt;&lt;ref-type name="Journal Article"&gt;17&lt;/ref-type&gt;&lt;contributors&gt;&lt;authors&gt;&lt;author&gt;Entezami, Alireza&lt;/author&gt;&lt;author&gt;Sarmadi, Hassan&lt;/author&gt;&lt;author&gt;Behkamal, Bahareh&lt;/author&gt;&lt;/authors&gt;&lt;/contributors&gt;&lt;titles&gt;&lt;title&gt;Removal of freezing effects from modal frequencies of civil structures for structural health monitoring&lt;/title&gt;&lt;secondary-title&gt;Engineering Structures&lt;/secondary-title&gt;&lt;/titles&gt;&lt;pages&gt;118722&lt;/pages&gt;&lt;volume&gt;319&lt;/volume&gt;&lt;keywords&gt;&lt;keyword&gt;Environmental variability&lt;/keyword&gt;&lt;keyword&gt;Frost effect&lt;/keyword&gt;&lt;keyword&gt;Modal frequency&lt;/keyword&gt;&lt;keyword&gt;Structural health monitoring&lt;/keyword&gt;&lt;keyword&gt;Unsupervised data normalization&lt;/keyword&gt;&lt;keyword&gt;Robust principal component analysis&lt;/keyword&gt;&lt;/keywords&gt;&lt;dates&gt;&lt;year&gt;2024&lt;/year&gt;&lt;pub-dates&gt;&lt;date&gt;2024/11/15/&lt;/date&gt;&lt;/pub-dates&gt;&lt;/dates&gt;&lt;isbn&gt;0141-0296&lt;/isbn&gt;&lt;urls&gt;&lt;related-urls&gt;&lt;url&gt;https://www.sciencedirect.com/science/article/pii/S0141029624012847&lt;/url&gt;&lt;/related-urls&gt;&lt;/urls&gt;&lt;electronic-resource-num&gt;https://doi.org/10.1016/j.engstruct.2024.118722&lt;/electronic-resource-num&gt;&lt;/record&gt;&lt;/Cite&gt;&lt;/EndNote&gt;</w:instrText>
      </w:r>
      <w:r>
        <w:fldChar w:fldCharType="separate"/>
      </w:r>
      <w:r>
        <w:rPr>
          <w:noProof/>
        </w:rPr>
        <w:t>[</w:t>
      </w:r>
      <w:r w:rsidR="0057033A">
        <w:rPr>
          <w:noProof/>
        </w:rPr>
        <w:t>12</w:t>
      </w:r>
      <w:r>
        <w:rPr>
          <w:noProof/>
        </w:rPr>
        <w:t>]</w:t>
      </w:r>
      <w:r>
        <w:fldChar w:fldCharType="end"/>
      </w:r>
      <w:r>
        <w:t>.</w:t>
      </w:r>
    </w:p>
    <w:p w14:paraId="2CC157C5" w14:textId="77777777" w:rsidR="000D075E" w:rsidRDefault="000D075E" w:rsidP="00B23996">
      <w:pPr>
        <w:ind w:firstLine="0"/>
      </w:pPr>
    </w:p>
    <w:p w14:paraId="65619D77" w14:textId="250A09D0" w:rsidR="007D393A" w:rsidRPr="0057033A" w:rsidRDefault="007D393A" w:rsidP="0057033A">
      <w:pPr>
        <w:pStyle w:val="Caption"/>
        <w:jc w:val="both"/>
        <w:rPr>
          <w:bCs/>
          <w:lang w:eastAsia="de-AT"/>
        </w:rPr>
      </w:pPr>
      <w:r>
        <w:rPr>
          <w:noProof/>
        </w:rPr>
        <w:lastRenderedPageBreak/>
        <w:drawing>
          <wp:inline distT="0" distB="0" distL="0" distR="0" wp14:anchorId="54B02EB0" wp14:editId="453D0867">
            <wp:extent cx="4392930" cy="2343835"/>
            <wp:effectExtent l="0" t="0" r="127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2930" cy="2343835"/>
                    </a:xfrm>
                    <a:prstGeom prst="rect">
                      <a:avLst/>
                    </a:prstGeom>
                  </pic:spPr>
                </pic:pic>
              </a:graphicData>
            </a:graphic>
          </wp:inline>
        </w:drawing>
      </w:r>
      <w:bookmarkStart w:id="3" w:name="_Ref196830843"/>
      <w:r w:rsidRPr="007D393A">
        <w:t xml:space="preserve"> </w:t>
      </w:r>
      <w:r w:rsidRPr="007D393A">
        <w:rPr>
          <w:rFonts w:eastAsia="Times New Roman"/>
          <w:b/>
          <w:sz w:val="18"/>
          <w:szCs w:val="20"/>
        </w:rPr>
        <w:t xml:space="preserve">Fig. </w:t>
      </w:r>
      <w:r w:rsidRPr="007D393A">
        <w:rPr>
          <w:rFonts w:eastAsia="Times New Roman"/>
          <w:b/>
          <w:sz w:val="18"/>
          <w:szCs w:val="20"/>
        </w:rPr>
        <w:fldChar w:fldCharType="begin"/>
      </w:r>
      <w:r w:rsidRPr="007D393A">
        <w:rPr>
          <w:rFonts w:eastAsia="Times New Roman"/>
          <w:b/>
          <w:sz w:val="18"/>
          <w:szCs w:val="20"/>
        </w:rPr>
        <w:instrText xml:space="preserve"> SEQ Fig. \* ARABIC </w:instrText>
      </w:r>
      <w:r w:rsidRPr="007D393A">
        <w:rPr>
          <w:rFonts w:eastAsia="Times New Roman"/>
          <w:b/>
          <w:sz w:val="18"/>
          <w:szCs w:val="20"/>
        </w:rPr>
        <w:fldChar w:fldCharType="separate"/>
      </w:r>
      <w:r w:rsidR="0070376B">
        <w:rPr>
          <w:rFonts w:eastAsia="Times New Roman"/>
          <w:b/>
          <w:noProof/>
          <w:sz w:val="18"/>
          <w:szCs w:val="20"/>
        </w:rPr>
        <w:t>3</w:t>
      </w:r>
      <w:r w:rsidRPr="007D393A">
        <w:rPr>
          <w:rFonts w:eastAsia="Times New Roman"/>
          <w:b/>
          <w:sz w:val="18"/>
          <w:szCs w:val="20"/>
        </w:rPr>
        <w:fldChar w:fldCharType="end"/>
      </w:r>
      <w:bookmarkEnd w:id="3"/>
      <w:r w:rsidRPr="007D393A">
        <w:rPr>
          <w:rFonts w:eastAsia="Times New Roman"/>
          <w:b/>
          <w:sz w:val="18"/>
          <w:szCs w:val="20"/>
        </w:rPr>
        <w:t xml:space="preserve">. </w:t>
      </w:r>
      <w:r w:rsidRPr="007D393A">
        <w:rPr>
          <w:rFonts w:eastAsia="Times New Roman"/>
          <w:bCs/>
          <w:sz w:val="18"/>
          <w:szCs w:val="20"/>
        </w:rPr>
        <w:t>Time-series evolution of the modal frequencies of four modes</w:t>
      </w:r>
      <w:r w:rsidRPr="007D393A">
        <w:rPr>
          <w:bCs/>
          <w:lang w:eastAsia="de-AT"/>
        </w:rPr>
        <w:t> </w:t>
      </w:r>
    </w:p>
    <w:p w14:paraId="3C4E9227" w14:textId="63EC6D19" w:rsidR="007D393A" w:rsidRDefault="007D393A" w:rsidP="007D393A">
      <w:r>
        <w:rPr>
          <w:noProof/>
        </w:rPr>
        <w:drawing>
          <wp:inline distT="0" distB="0" distL="0" distR="0" wp14:anchorId="28182862" wp14:editId="41D20C7F">
            <wp:extent cx="4320000" cy="3041077"/>
            <wp:effectExtent l="0" t="0" r="444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3041077"/>
                    </a:xfrm>
                    <a:prstGeom prst="rect">
                      <a:avLst/>
                    </a:prstGeom>
                  </pic:spPr>
                </pic:pic>
              </a:graphicData>
            </a:graphic>
          </wp:inline>
        </w:drawing>
      </w:r>
      <w:bookmarkStart w:id="4" w:name="_Ref196838577"/>
      <w:r w:rsidRPr="007D393A">
        <w:t xml:space="preserve"> </w:t>
      </w:r>
      <w:r w:rsidRPr="007D393A">
        <w:rPr>
          <w:b/>
          <w:bCs/>
          <w:sz w:val="18"/>
          <w:szCs w:val="18"/>
        </w:rPr>
        <w:t xml:space="preserve">Fig. </w:t>
      </w:r>
      <w:r w:rsidRPr="007D393A">
        <w:rPr>
          <w:b/>
          <w:bCs/>
          <w:sz w:val="18"/>
          <w:szCs w:val="18"/>
        </w:rPr>
        <w:fldChar w:fldCharType="begin"/>
      </w:r>
      <w:r w:rsidRPr="007D393A">
        <w:rPr>
          <w:b/>
          <w:bCs/>
          <w:sz w:val="18"/>
          <w:szCs w:val="18"/>
        </w:rPr>
        <w:instrText xml:space="preserve"> SEQ Fig. \* ARABIC </w:instrText>
      </w:r>
      <w:r w:rsidRPr="007D393A">
        <w:rPr>
          <w:b/>
          <w:bCs/>
          <w:sz w:val="18"/>
          <w:szCs w:val="18"/>
        </w:rPr>
        <w:fldChar w:fldCharType="separate"/>
      </w:r>
      <w:r w:rsidR="0070376B">
        <w:rPr>
          <w:b/>
          <w:bCs/>
          <w:noProof/>
          <w:sz w:val="18"/>
          <w:szCs w:val="18"/>
        </w:rPr>
        <w:t>4</w:t>
      </w:r>
      <w:r w:rsidRPr="007D393A">
        <w:rPr>
          <w:b/>
          <w:bCs/>
          <w:noProof/>
          <w:sz w:val="18"/>
          <w:szCs w:val="18"/>
        </w:rPr>
        <w:fldChar w:fldCharType="end"/>
      </w:r>
      <w:bookmarkEnd w:id="4"/>
      <w:r w:rsidRPr="007D393A">
        <w:rPr>
          <w:b/>
          <w:bCs/>
          <w:sz w:val="18"/>
          <w:szCs w:val="18"/>
        </w:rPr>
        <w:t>.</w:t>
      </w:r>
      <w:r w:rsidRPr="007D393A">
        <w:rPr>
          <w:sz w:val="18"/>
          <w:szCs w:val="18"/>
        </w:rPr>
        <w:t xml:space="preserve"> Reconstruction errors of the modal frequencies of the Z24 bridge derived from the autoencoder</w:t>
      </w:r>
    </w:p>
    <w:p w14:paraId="2CEC9924" w14:textId="77777777" w:rsidR="00B23996" w:rsidRDefault="00B23996" w:rsidP="00B23996"/>
    <w:p w14:paraId="5529B4D6" w14:textId="50724598" w:rsidR="007D393A" w:rsidRDefault="007D393A" w:rsidP="007D393A">
      <w:pPr>
        <w:rPr>
          <w:lang w:eastAsia="de-AT"/>
        </w:rPr>
      </w:pPr>
      <w:r>
        <w:rPr>
          <w:lang w:eastAsia="de-AT"/>
        </w:rPr>
        <w:t>The total modal frequencies of the bridge</w:t>
      </w:r>
      <w:r w:rsidR="00640509">
        <w:rPr>
          <w:lang w:eastAsia="de-AT"/>
        </w:rPr>
        <w:t xml:space="preserve">, comprising </w:t>
      </w:r>
      <w:r>
        <w:rPr>
          <w:lang w:eastAsia="de-AT"/>
        </w:rPr>
        <w:t>3932 samples are divided into the training (</w:t>
      </w:r>
      <w:r w:rsidRPr="0082408D">
        <w:rPr>
          <w:b/>
          <w:bCs/>
          <w:lang w:eastAsia="de-AT"/>
        </w:rPr>
        <w:t>X</w:t>
      </w:r>
      <w:r>
        <w:rPr>
          <w:lang w:eastAsia="de-AT"/>
        </w:rPr>
        <w:t>) and testing (</w:t>
      </w:r>
      <w:r w:rsidRPr="0082408D">
        <w:rPr>
          <w:b/>
          <w:bCs/>
          <w:lang w:eastAsia="de-AT"/>
        </w:rPr>
        <w:t>Z</w:t>
      </w:r>
      <w:r>
        <w:rPr>
          <w:lang w:eastAsia="de-AT"/>
        </w:rPr>
        <w:t xml:space="preserve">) matrices with </w:t>
      </w:r>
      <w:r w:rsidR="00640509">
        <w:rPr>
          <w:lang w:eastAsia="de-AT"/>
        </w:rPr>
        <w:t>a</w:t>
      </w:r>
      <w:r>
        <w:rPr>
          <w:lang w:eastAsia="de-AT"/>
        </w:rPr>
        <w:t xml:space="preserve"> 90%-10%</w:t>
      </w:r>
      <w:r w:rsidR="00640509">
        <w:rPr>
          <w:lang w:eastAsia="de-AT"/>
        </w:rPr>
        <w:t xml:space="preserve"> split</w:t>
      </w:r>
      <w:r>
        <w:rPr>
          <w:lang w:eastAsia="de-AT"/>
        </w:rPr>
        <w:t xml:space="preserve">. In this case, the number of training samples corresponds to 3127. Moreover, the testing matrix also comprises the frequencies of both the undamaged and damaged states, where the undamaged instances in Z serve as the validation data. Using the training matrix, a deep autoencoder </w:t>
      </w:r>
      <w:r>
        <w:rPr>
          <w:lang w:eastAsia="de-AT"/>
        </w:rPr>
        <w:lastRenderedPageBreak/>
        <w:t xml:space="preserve">is developed, </w:t>
      </w:r>
      <w:r w:rsidR="00640509">
        <w:rPr>
          <w:lang w:eastAsia="de-AT"/>
        </w:rPr>
        <w:t>consisting of</w:t>
      </w:r>
      <w:r>
        <w:rPr>
          <w:lang w:eastAsia="de-AT"/>
        </w:rPr>
        <w:t xml:space="preserve"> three hidden layers with 10, 2, and 10 neurons, to determine the reconstruction error </w:t>
      </w:r>
      <w:r w:rsidRPr="0082408D">
        <w:rPr>
          <w:b/>
          <w:bCs/>
          <w:lang w:eastAsia="de-AT"/>
        </w:rPr>
        <w:t>R</w:t>
      </w:r>
      <w:r>
        <w:rPr>
          <w:lang w:eastAsia="de-AT"/>
        </w:rPr>
        <w:t xml:space="preserve">. </w:t>
      </w:r>
      <w:r>
        <w:rPr>
          <w:lang w:eastAsia="de-AT"/>
        </w:rPr>
        <w:fldChar w:fldCharType="begin"/>
      </w:r>
      <w:r>
        <w:rPr>
          <w:lang w:eastAsia="de-AT"/>
        </w:rPr>
        <w:instrText xml:space="preserve"> REF _Ref196838577 \h </w:instrText>
      </w:r>
      <w:r>
        <w:rPr>
          <w:lang w:eastAsia="de-AT"/>
        </w:rPr>
      </w:r>
      <w:r>
        <w:rPr>
          <w:lang w:eastAsia="de-AT"/>
        </w:rPr>
        <w:fldChar w:fldCharType="separate"/>
      </w:r>
      <w:r w:rsidR="0070376B" w:rsidRPr="007D393A">
        <w:t xml:space="preserve"> </w:t>
      </w:r>
      <w:r w:rsidR="0070376B" w:rsidRPr="007D393A">
        <w:rPr>
          <w:b/>
          <w:bCs/>
          <w:sz w:val="18"/>
          <w:szCs w:val="18"/>
        </w:rPr>
        <w:t xml:space="preserve">Fig. </w:t>
      </w:r>
      <w:r w:rsidR="0070376B">
        <w:rPr>
          <w:b/>
          <w:bCs/>
          <w:noProof/>
          <w:sz w:val="18"/>
          <w:szCs w:val="18"/>
        </w:rPr>
        <w:t>4</w:t>
      </w:r>
      <w:r>
        <w:rPr>
          <w:lang w:eastAsia="de-AT"/>
        </w:rPr>
        <w:fldChar w:fldCharType="end"/>
      </w:r>
      <w:r>
        <w:rPr>
          <w:lang w:eastAsia="de-AT"/>
        </w:rPr>
        <w:t xml:space="preserve"> illustrates the evolution of the reconstruction errors of the training, validation, and testing (damaged) samples. As can be observed, the sudden jumps in the training level are related to the temperature variability impact, which </w:t>
      </w:r>
      <w:proofErr w:type="gramStart"/>
      <w:r>
        <w:rPr>
          <w:lang w:eastAsia="de-AT"/>
        </w:rPr>
        <w:t xml:space="preserve">still </w:t>
      </w:r>
      <w:r w:rsidR="00640509">
        <w:rPr>
          <w:lang w:eastAsia="de-AT"/>
        </w:rPr>
        <w:t>persists</w:t>
      </w:r>
      <w:proofErr w:type="gramEnd"/>
      <w:r>
        <w:rPr>
          <w:lang w:eastAsia="de-AT"/>
        </w:rPr>
        <w:t xml:space="preserve"> in the output of the autoencoder-based feature normalization. </w:t>
      </w:r>
    </w:p>
    <w:p w14:paraId="6EB94902" w14:textId="094B6017" w:rsidR="007D393A" w:rsidRDefault="007D393A" w:rsidP="007D393A">
      <w:pPr>
        <w:pStyle w:val="Caption"/>
        <w:jc w:val="both"/>
      </w:pPr>
      <w:r>
        <w:rPr>
          <w:noProof/>
          <w:lang w:eastAsia="de-AT"/>
        </w:rPr>
        <w:drawing>
          <wp:inline distT="0" distB="0" distL="0" distR="0" wp14:anchorId="6A50B5CF" wp14:editId="355BADAD">
            <wp:extent cx="4320000" cy="3041077"/>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3041077"/>
                    </a:xfrm>
                    <a:prstGeom prst="rect">
                      <a:avLst/>
                    </a:prstGeom>
                  </pic:spPr>
                </pic:pic>
              </a:graphicData>
            </a:graphic>
          </wp:inline>
        </w:drawing>
      </w:r>
      <w:bookmarkStart w:id="5" w:name="_Ref196838842"/>
      <w:r w:rsidRPr="007D393A">
        <w:t xml:space="preserve"> </w:t>
      </w:r>
      <w:r w:rsidRPr="007D393A">
        <w:rPr>
          <w:b/>
          <w:bCs/>
          <w:sz w:val="18"/>
          <w:szCs w:val="18"/>
        </w:rPr>
        <w:t xml:space="preserve">Fig. </w:t>
      </w:r>
      <w:r w:rsidRPr="007D393A">
        <w:rPr>
          <w:b/>
          <w:bCs/>
          <w:sz w:val="18"/>
          <w:szCs w:val="18"/>
        </w:rPr>
        <w:fldChar w:fldCharType="begin"/>
      </w:r>
      <w:r w:rsidRPr="007D393A">
        <w:rPr>
          <w:b/>
          <w:bCs/>
          <w:sz w:val="18"/>
          <w:szCs w:val="18"/>
        </w:rPr>
        <w:instrText xml:space="preserve"> SEQ Fig. \* ARABIC </w:instrText>
      </w:r>
      <w:r w:rsidRPr="007D393A">
        <w:rPr>
          <w:b/>
          <w:bCs/>
          <w:sz w:val="18"/>
          <w:szCs w:val="18"/>
        </w:rPr>
        <w:fldChar w:fldCharType="separate"/>
      </w:r>
      <w:r w:rsidR="0070376B">
        <w:rPr>
          <w:b/>
          <w:bCs/>
          <w:noProof/>
          <w:sz w:val="18"/>
          <w:szCs w:val="18"/>
        </w:rPr>
        <w:t>5</w:t>
      </w:r>
      <w:r w:rsidRPr="007D393A">
        <w:rPr>
          <w:b/>
          <w:bCs/>
          <w:noProof/>
          <w:sz w:val="18"/>
          <w:szCs w:val="18"/>
        </w:rPr>
        <w:fldChar w:fldCharType="end"/>
      </w:r>
      <w:bookmarkEnd w:id="5"/>
      <w:r w:rsidRPr="007D393A">
        <w:rPr>
          <w:b/>
          <w:bCs/>
          <w:sz w:val="18"/>
          <w:szCs w:val="18"/>
        </w:rPr>
        <w:t>.</w:t>
      </w:r>
      <w:r w:rsidRPr="007D393A">
        <w:rPr>
          <w:sz w:val="18"/>
          <w:szCs w:val="18"/>
        </w:rPr>
        <w:t xml:space="preserve"> Anomaly detection via DBSCAN</w:t>
      </w:r>
    </w:p>
    <w:p w14:paraId="5EB17A8C" w14:textId="6984F0EA" w:rsidR="007D393A" w:rsidRDefault="007D393A" w:rsidP="00FF6F99">
      <w:pPr>
        <w:rPr>
          <w:lang w:eastAsia="de-AT"/>
        </w:rPr>
      </w:pPr>
      <w:r>
        <w:rPr>
          <w:lang w:eastAsia="de-AT"/>
        </w:rPr>
        <w:t>The reconstruction error R is now applied to the DBSCAN to cluster it into two groups. The optimal choices for the epsilon (</w:t>
      </w:r>
      <w:r>
        <w:rPr>
          <w:rFonts w:cstheme="majorBidi"/>
          <w:lang w:eastAsia="de-AT"/>
        </w:rPr>
        <w:t>ε</w:t>
      </w:r>
      <w:r>
        <w:rPr>
          <w:lang w:eastAsia="de-AT"/>
        </w:rPr>
        <w:t xml:space="preserve">) and </w:t>
      </w:r>
      <w:proofErr w:type="spellStart"/>
      <w:r>
        <w:rPr>
          <w:lang w:eastAsia="de-AT"/>
        </w:rPr>
        <w:t>minPts</w:t>
      </w:r>
      <w:proofErr w:type="spellEnd"/>
      <w:r>
        <w:rPr>
          <w:lang w:eastAsia="de-AT"/>
        </w:rPr>
        <w:t xml:space="preserve"> are </w:t>
      </w:r>
      <w:r w:rsidR="00640509">
        <w:rPr>
          <w:lang w:eastAsia="de-AT"/>
        </w:rPr>
        <w:t>set</w:t>
      </w:r>
      <w:r>
        <w:rPr>
          <w:lang w:eastAsia="de-AT"/>
        </w:rPr>
        <w:t xml:space="preserve"> to 0.1403 and 80, respectively. </w:t>
      </w:r>
      <w:r>
        <w:rPr>
          <w:lang w:eastAsia="de-AT"/>
        </w:rPr>
        <w:fldChar w:fldCharType="begin"/>
      </w:r>
      <w:r>
        <w:rPr>
          <w:lang w:eastAsia="de-AT"/>
        </w:rPr>
        <w:instrText xml:space="preserve"> REF _Ref196838842 \h </w:instrText>
      </w:r>
      <w:r>
        <w:rPr>
          <w:lang w:eastAsia="de-AT"/>
        </w:rPr>
      </w:r>
      <w:r>
        <w:rPr>
          <w:lang w:eastAsia="de-AT"/>
        </w:rPr>
        <w:fldChar w:fldCharType="separate"/>
      </w:r>
      <w:r w:rsidR="0070376B" w:rsidRPr="007D393A">
        <w:t xml:space="preserve"> </w:t>
      </w:r>
      <w:r w:rsidR="0070376B" w:rsidRPr="007D393A">
        <w:rPr>
          <w:b/>
          <w:bCs/>
          <w:sz w:val="18"/>
          <w:szCs w:val="18"/>
        </w:rPr>
        <w:t xml:space="preserve">Fig. </w:t>
      </w:r>
      <w:r w:rsidR="0070376B">
        <w:rPr>
          <w:b/>
          <w:bCs/>
          <w:noProof/>
          <w:sz w:val="18"/>
          <w:szCs w:val="18"/>
        </w:rPr>
        <w:t>5</w:t>
      </w:r>
      <w:r>
        <w:rPr>
          <w:lang w:eastAsia="de-AT"/>
        </w:rPr>
        <w:fldChar w:fldCharType="end"/>
      </w:r>
      <w:r>
        <w:rPr>
          <w:lang w:eastAsia="de-AT"/>
        </w:rPr>
        <w:t xml:space="preserve"> indicates the result of anomaly detection via the DBSCAN for the dynamic monitoring of the Z24 bridge. From this figure, one can discern that the proposed REDCAN method could correctly detect the undamaged and damaged states without any </w:t>
      </w:r>
      <w:proofErr w:type="gramStart"/>
      <w:r>
        <w:rPr>
          <w:lang w:eastAsia="de-AT"/>
        </w:rPr>
        <w:t>mis-detection</w:t>
      </w:r>
      <w:proofErr w:type="gramEnd"/>
      <w:r>
        <w:rPr>
          <w:lang w:eastAsia="de-AT"/>
        </w:rPr>
        <w:t xml:space="preserve"> or false negative error. For the undamaged samples, there are only three false alarms</w:t>
      </w:r>
      <w:r w:rsidR="00640509">
        <w:rPr>
          <w:lang w:eastAsia="de-AT"/>
        </w:rPr>
        <w:t xml:space="preserve">, resulting in a </w:t>
      </w:r>
      <w:r>
        <w:rPr>
          <w:lang w:eastAsia="de-AT"/>
        </w:rPr>
        <w:t xml:space="preserve">false positive rate </w:t>
      </w:r>
      <w:r w:rsidR="00640509">
        <w:rPr>
          <w:lang w:eastAsia="de-AT"/>
        </w:rPr>
        <w:t xml:space="preserve">of </w:t>
      </w:r>
      <w:r>
        <w:rPr>
          <w:lang w:eastAsia="de-AT"/>
        </w:rPr>
        <w:t xml:space="preserve">less than 0.1%. </w:t>
      </w:r>
    </w:p>
    <w:p w14:paraId="7DD6C1FC" w14:textId="3D367BFA" w:rsidR="007D393A" w:rsidRDefault="007D393A" w:rsidP="007D393A">
      <w:pPr>
        <w:pStyle w:val="heading1"/>
      </w:pPr>
      <w:r>
        <w:t>Conclusions</w:t>
      </w:r>
    </w:p>
    <w:p w14:paraId="73F11E80" w14:textId="6D4BC89C" w:rsidR="007D393A" w:rsidRDefault="007D393A" w:rsidP="007C4102">
      <w:pPr>
        <w:ind w:firstLine="0"/>
        <w:rPr>
          <w:lang w:eastAsia="de-AT"/>
        </w:rPr>
      </w:pPr>
      <w:r w:rsidRPr="00460525">
        <w:rPr>
          <w:lang w:eastAsia="de-AT"/>
        </w:rPr>
        <w:t>This study proposed a novel unsupervised learning framework (REDCAN) for the long-term dynamic monitoring of bridge structures. The REDCAN method integrates two complementary stages</w:t>
      </w:r>
      <w:r>
        <w:rPr>
          <w:lang w:eastAsia="de-AT"/>
        </w:rPr>
        <w:t xml:space="preserve"> of</w:t>
      </w:r>
      <w:r w:rsidRPr="00460525">
        <w:rPr>
          <w:lang w:eastAsia="de-AT"/>
        </w:rPr>
        <w:t xml:space="preserve"> reconstruction-based feature normalization using a deep autoencoder, and density-based clustering of the reconstruction errors using the DBSCAN algorithm. By transforming the anomaly detection task into a density separation problem </w:t>
      </w:r>
      <w:r w:rsidR="00640509">
        <w:rPr>
          <w:lang w:eastAsia="de-AT"/>
        </w:rPr>
        <w:t>within</w:t>
      </w:r>
      <w:r w:rsidRPr="00460525">
        <w:rPr>
          <w:lang w:eastAsia="de-AT"/>
        </w:rPr>
        <w:t xml:space="preserve"> the reconstruction error space, REDCAN overcomes the limitations of traditional threshold-based methods and single-model </w:t>
      </w:r>
      <w:proofErr w:type="gramStart"/>
      <w:r w:rsidRPr="00460525">
        <w:rPr>
          <w:lang w:eastAsia="de-AT"/>
        </w:rPr>
        <w:t>strategies, and</w:t>
      </w:r>
      <w:proofErr w:type="gramEnd"/>
      <w:r w:rsidRPr="00460525">
        <w:rPr>
          <w:lang w:eastAsia="de-AT"/>
        </w:rPr>
        <w:t xml:space="preserve"> effectively captures </w:t>
      </w:r>
      <w:r w:rsidRPr="00460525">
        <w:rPr>
          <w:lang w:eastAsia="de-AT"/>
        </w:rPr>
        <w:lastRenderedPageBreak/>
        <w:t>both global reconstruction behaviors and local density irregularities without relying on manual threshold tuning or multi-layer decision fusion.</w:t>
      </w:r>
    </w:p>
    <w:p w14:paraId="042C1528" w14:textId="7C336821" w:rsidR="007D393A" w:rsidRPr="00460525" w:rsidRDefault="007D393A" w:rsidP="00FF6F99">
      <w:pPr>
        <w:rPr>
          <w:szCs w:val="24"/>
        </w:rPr>
      </w:pPr>
      <w:r w:rsidRPr="00460525">
        <w:rPr>
          <w:szCs w:val="24"/>
        </w:rPr>
        <w:t xml:space="preserve">Based on the results </w:t>
      </w:r>
      <w:r w:rsidR="00640509">
        <w:rPr>
          <w:szCs w:val="24"/>
        </w:rPr>
        <w:t>obtained from</w:t>
      </w:r>
      <w:r w:rsidRPr="00460525">
        <w:rPr>
          <w:szCs w:val="24"/>
        </w:rPr>
        <w:t xml:space="preserve"> the long-term modal frequency dataset of the Z24 bridge, the following </w:t>
      </w:r>
      <w:r>
        <w:rPr>
          <w:szCs w:val="24"/>
        </w:rPr>
        <w:t>findings</w:t>
      </w:r>
      <w:r w:rsidRPr="00460525">
        <w:rPr>
          <w:szCs w:val="24"/>
        </w:rPr>
        <w:t xml:space="preserve"> can be drawn:</w:t>
      </w:r>
    </w:p>
    <w:p w14:paraId="2A344E5D" w14:textId="0832C7A0" w:rsidR="007D393A" w:rsidRDefault="007D393A" w:rsidP="00FF6F99">
      <w:pPr>
        <w:numPr>
          <w:ilvl w:val="0"/>
          <w:numId w:val="12"/>
        </w:numPr>
        <w:overflowPunct/>
        <w:autoSpaceDE/>
        <w:autoSpaceDN/>
        <w:adjustRightInd/>
        <w:spacing w:before="120" w:after="100" w:afterAutospacing="1" w:line="240" w:lineRule="auto"/>
        <w:ind w:left="714" w:hanging="357"/>
        <w:textAlignment w:val="auto"/>
        <w:rPr>
          <w:szCs w:val="24"/>
        </w:rPr>
      </w:pPr>
      <w:r>
        <w:rPr>
          <w:szCs w:val="24"/>
        </w:rPr>
        <w:t xml:space="preserve">While the </w:t>
      </w:r>
      <w:r w:rsidRPr="00460525">
        <w:rPr>
          <w:szCs w:val="24"/>
        </w:rPr>
        <w:t xml:space="preserve">deep autoencoder </w:t>
      </w:r>
      <w:r>
        <w:rPr>
          <w:szCs w:val="24"/>
        </w:rPr>
        <w:t xml:space="preserve">could </w:t>
      </w:r>
      <w:r w:rsidR="00640509">
        <w:rPr>
          <w:szCs w:val="24"/>
        </w:rPr>
        <w:t>mitigate</w:t>
      </w:r>
      <w:r>
        <w:rPr>
          <w:szCs w:val="24"/>
        </w:rPr>
        <w:t xml:space="preserve"> the impact of the severe temperature variability, observed in the bridge</w:t>
      </w:r>
      <w:r w:rsidR="00640509">
        <w:rPr>
          <w:szCs w:val="24"/>
        </w:rPr>
        <w:t xml:space="preserve">’s </w:t>
      </w:r>
      <w:r>
        <w:rPr>
          <w:szCs w:val="24"/>
        </w:rPr>
        <w:t xml:space="preserve">modal frequencies, the reconstruction errors still </w:t>
      </w:r>
      <w:r w:rsidR="00640509">
        <w:rPr>
          <w:szCs w:val="24"/>
        </w:rPr>
        <w:t>reflect early</w:t>
      </w:r>
      <w:r>
        <w:rPr>
          <w:szCs w:val="24"/>
        </w:rPr>
        <w:t xml:space="preserve"> sign</w:t>
      </w:r>
      <w:r w:rsidR="00640509">
        <w:rPr>
          <w:szCs w:val="24"/>
        </w:rPr>
        <w:t>s</w:t>
      </w:r>
      <w:r>
        <w:rPr>
          <w:szCs w:val="24"/>
        </w:rPr>
        <w:t xml:space="preserve"> of temperature changes as sudden increases. Moreover, the reconstruction errors of the damaged state </w:t>
      </w:r>
      <w:r w:rsidR="00640509">
        <w:rPr>
          <w:szCs w:val="24"/>
        </w:rPr>
        <w:t>closely resemble those</w:t>
      </w:r>
      <w:r>
        <w:rPr>
          <w:szCs w:val="24"/>
        </w:rPr>
        <w:t xml:space="preserve"> of the undamaged condition. </w:t>
      </w:r>
    </w:p>
    <w:p w14:paraId="33AF0D6B" w14:textId="77777777" w:rsidR="007D393A" w:rsidRDefault="007D393A" w:rsidP="007D393A">
      <w:pPr>
        <w:numPr>
          <w:ilvl w:val="0"/>
          <w:numId w:val="12"/>
        </w:numPr>
        <w:overflowPunct/>
        <w:autoSpaceDE/>
        <w:autoSpaceDN/>
        <w:adjustRightInd/>
        <w:spacing w:before="100" w:beforeAutospacing="1" w:after="100" w:afterAutospacing="1" w:line="240" w:lineRule="auto"/>
        <w:textAlignment w:val="auto"/>
        <w:rPr>
          <w:szCs w:val="24"/>
        </w:rPr>
      </w:pPr>
      <w:r>
        <w:t>The DBSCAN algorithm, when applied to the reconstruction errors, effectively clusters the data into two distinct groups representing normal and damaged conditions without requiring the number of clusters to be pre-specified.</w:t>
      </w:r>
    </w:p>
    <w:p w14:paraId="5DA28E39" w14:textId="419D4D7C" w:rsidR="007D393A" w:rsidRPr="00B53FF1" w:rsidRDefault="007D393A" w:rsidP="007D393A">
      <w:pPr>
        <w:numPr>
          <w:ilvl w:val="0"/>
          <w:numId w:val="12"/>
        </w:numPr>
        <w:overflowPunct/>
        <w:autoSpaceDE/>
        <w:autoSpaceDN/>
        <w:adjustRightInd/>
        <w:spacing w:before="100" w:beforeAutospacing="1" w:after="100" w:afterAutospacing="1" w:line="240" w:lineRule="auto"/>
        <w:textAlignment w:val="auto"/>
        <w:rPr>
          <w:szCs w:val="24"/>
        </w:rPr>
      </w:pPr>
      <w:r>
        <w:t xml:space="preserve">By tuning DBSCAN hyperparameters to enforce binary classification, the REDCAN method </w:t>
      </w:r>
      <w:r w:rsidR="00640509">
        <w:t xml:space="preserve">consistently </w:t>
      </w:r>
      <w:r>
        <w:t>achieves extremely</w:t>
      </w:r>
      <w:r w:rsidR="00640509">
        <w:t xml:space="preserve"> </w:t>
      </w:r>
      <w:r>
        <w:t xml:space="preserve">low false alarm rates (less than 0.1%) and complete damage detection without any </w:t>
      </w:r>
      <w:proofErr w:type="gramStart"/>
      <w:r>
        <w:t>mis-detections</w:t>
      </w:r>
      <w:proofErr w:type="gramEnd"/>
      <w:r>
        <w:t>.</w:t>
      </w:r>
    </w:p>
    <w:p w14:paraId="64FDB40C" w14:textId="3672061E" w:rsidR="007D393A" w:rsidRPr="007C4102" w:rsidRDefault="007D393A" w:rsidP="007C4102">
      <w:pPr>
        <w:numPr>
          <w:ilvl w:val="0"/>
          <w:numId w:val="12"/>
        </w:numPr>
        <w:overflowPunct/>
        <w:autoSpaceDE/>
        <w:autoSpaceDN/>
        <w:adjustRightInd/>
        <w:spacing w:before="100" w:beforeAutospacing="1" w:after="100" w:afterAutospacing="1" w:line="240" w:lineRule="auto"/>
        <w:textAlignment w:val="auto"/>
        <w:rPr>
          <w:szCs w:val="24"/>
        </w:rPr>
      </w:pPr>
      <w:r>
        <w:t>The experimental validation confirms that REDCAN can robustly distinguish between genuine structural anomalies and environmental variability effects, such as sharp frequency increases caused by freezing events.</w:t>
      </w:r>
    </w:p>
    <w:p w14:paraId="3DACC7D7" w14:textId="77777777" w:rsidR="00B23996" w:rsidRDefault="00B23996" w:rsidP="00B23996"/>
    <w:bookmarkEnd w:id="1"/>
    <w:p w14:paraId="4B7A5B3E" w14:textId="77777777" w:rsidR="00382277" w:rsidRDefault="009B2539" w:rsidP="00606587">
      <w:pPr>
        <w:pStyle w:val="heading1"/>
        <w:numPr>
          <w:ilvl w:val="0"/>
          <w:numId w:val="0"/>
        </w:numPr>
        <w:ind w:left="567" w:hanging="567"/>
      </w:pPr>
      <w:r>
        <w:t>References</w:t>
      </w:r>
    </w:p>
    <w:p w14:paraId="35D8D103" w14:textId="4586AE4B" w:rsidR="007D393A" w:rsidRPr="007D393A" w:rsidRDefault="007D393A" w:rsidP="0057033A">
      <w:pPr>
        <w:pStyle w:val="EndNoteBibliography"/>
        <w:numPr>
          <w:ilvl w:val="0"/>
          <w:numId w:val="14"/>
        </w:numPr>
        <w:spacing w:before="0" w:after="0"/>
        <w:rPr>
          <w:sz w:val="18"/>
          <w:szCs w:val="18"/>
        </w:rPr>
      </w:pPr>
      <w:r w:rsidRPr="007D393A">
        <w:rPr>
          <w:sz w:val="18"/>
          <w:szCs w:val="18"/>
        </w:rPr>
        <w:fldChar w:fldCharType="begin"/>
      </w:r>
      <w:r w:rsidRPr="007D393A">
        <w:rPr>
          <w:sz w:val="18"/>
          <w:szCs w:val="18"/>
        </w:rPr>
        <w:instrText xml:space="preserve"> ADDIN EN.REFLIST </w:instrText>
      </w:r>
      <w:r w:rsidRPr="007D393A">
        <w:rPr>
          <w:sz w:val="18"/>
          <w:szCs w:val="18"/>
        </w:rPr>
        <w:fldChar w:fldCharType="separate"/>
      </w:r>
      <w:r w:rsidRPr="007D393A">
        <w:rPr>
          <w:sz w:val="18"/>
          <w:szCs w:val="18"/>
        </w:rPr>
        <w:t>Z. Wang, D.-H. Yang, T.-H. Yi, G.-H. Zhang, J.-G. Han, Eliminating environmental and operational effects on structural modal frequency: A comprehensive review, Struct. Contr. Health Monit., 29 (2022) e3073.</w:t>
      </w:r>
    </w:p>
    <w:p w14:paraId="59D7385B" w14:textId="6741C483" w:rsidR="007D393A" w:rsidRPr="007D393A" w:rsidRDefault="007D393A" w:rsidP="0057033A">
      <w:pPr>
        <w:pStyle w:val="EndNoteBibliography"/>
        <w:numPr>
          <w:ilvl w:val="0"/>
          <w:numId w:val="14"/>
        </w:numPr>
        <w:spacing w:before="0" w:after="0"/>
        <w:rPr>
          <w:sz w:val="18"/>
          <w:szCs w:val="18"/>
        </w:rPr>
      </w:pPr>
      <w:r w:rsidRPr="007D393A">
        <w:rPr>
          <w:sz w:val="18"/>
          <w:szCs w:val="18"/>
        </w:rPr>
        <w:t>A. Entezami, H. Sarmadi, B. Behkamal, S. Mariani, Early warning of structural damage via manifold learning-aided data clustering and non-parametric probabilistic anomaly detection, Mech. Syst. Sig. Process., 224 (2025) 111984.</w:t>
      </w:r>
    </w:p>
    <w:p w14:paraId="3099D3DA" w14:textId="1CFAEB71" w:rsidR="007D393A" w:rsidRDefault="007D393A" w:rsidP="0057033A">
      <w:pPr>
        <w:pStyle w:val="EndNoteBibliography"/>
        <w:numPr>
          <w:ilvl w:val="0"/>
          <w:numId w:val="14"/>
        </w:numPr>
        <w:spacing w:before="0" w:after="0"/>
        <w:rPr>
          <w:sz w:val="18"/>
          <w:szCs w:val="18"/>
        </w:rPr>
      </w:pPr>
      <w:r w:rsidRPr="007D393A">
        <w:rPr>
          <w:sz w:val="18"/>
          <w:szCs w:val="18"/>
        </w:rPr>
        <w:t>A. Entezami, H. Sarmadi, B. Behkamal, A novel double-hybrid learning method for modal frequency-based damage assessment of bridge structures under different environmental variation patterns, Mech. Syst. Sig. Process., 201 (2023) 110676.</w:t>
      </w:r>
    </w:p>
    <w:p w14:paraId="5A510608" w14:textId="700EC69E" w:rsidR="0057033A" w:rsidRPr="0057033A" w:rsidRDefault="0057033A" w:rsidP="0057033A">
      <w:pPr>
        <w:pStyle w:val="EndNoteBibliography"/>
        <w:numPr>
          <w:ilvl w:val="0"/>
          <w:numId w:val="14"/>
        </w:numPr>
        <w:spacing w:before="0" w:after="0"/>
        <w:rPr>
          <w:sz w:val="18"/>
          <w:szCs w:val="18"/>
        </w:rPr>
      </w:pPr>
      <w:r w:rsidRPr="001C4437">
        <w:rPr>
          <w:sz w:val="18"/>
          <w:szCs w:val="18"/>
        </w:rPr>
        <w:t>Entezami, A., Shariatmadar, H., Karamodin, A.: Improving feature extraction via time series modeling for structural health monitoring based on unsupervised learning methods. Scientia Iranica 27(3): 1001</w:t>
      </w:r>
      <w:r>
        <w:rPr>
          <w:sz w:val="18"/>
          <w:szCs w:val="18"/>
        </w:rPr>
        <w:t>-</w:t>
      </w:r>
      <w:r w:rsidRPr="001C4437">
        <w:rPr>
          <w:sz w:val="18"/>
          <w:szCs w:val="18"/>
        </w:rPr>
        <w:t>1018 (2020).</w:t>
      </w:r>
    </w:p>
    <w:p w14:paraId="3A651F91" w14:textId="47C60613" w:rsidR="0057033A" w:rsidRPr="0057033A" w:rsidRDefault="0057033A" w:rsidP="0057033A">
      <w:pPr>
        <w:pStyle w:val="EndNoteBibliography"/>
        <w:numPr>
          <w:ilvl w:val="0"/>
          <w:numId w:val="14"/>
        </w:numPr>
        <w:spacing w:before="0" w:after="0"/>
        <w:rPr>
          <w:sz w:val="18"/>
          <w:szCs w:val="18"/>
        </w:rPr>
      </w:pPr>
      <w:r w:rsidRPr="0057033A">
        <w:rPr>
          <w:sz w:val="18"/>
          <w:szCs w:val="18"/>
        </w:rPr>
        <w:t>2-</w:t>
      </w:r>
      <w:r w:rsidRPr="001C4437">
        <w:rPr>
          <w:sz w:val="18"/>
          <w:szCs w:val="18"/>
        </w:rPr>
        <w:t>Behkamal, B., Entezami, A., De Michele, C., Arslan, A. N.: Investigation of temperature effects into long-span bridges via hybrid sensing and supervised regression models. Remote Sensing 15(14): 3503 (2023).</w:t>
      </w:r>
    </w:p>
    <w:p w14:paraId="0FF53E7D" w14:textId="43A7B83D" w:rsidR="0057033A" w:rsidRPr="001C4437" w:rsidRDefault="0057033A" w:rsidP="0057033A">
      <w:pPr>
        <w:pStyle w:val="EndNoteBibliography"/>
        <w:numPr>
          <w:ilvl w:val="0"/>
          <w:numId w:val="14"/>
        </w:numPr>
        <w:spacing w:before="0" w:after="0"/>
        <w:rPr>
          <w:sz w:val="20"/>
          <w:szCs w:val="20"/>
        </w:rPr>
      </w:pPr>
      <w:r w:rsidRPr="001C4437">
        <w:rPr>
          <w:sz w:val="18"/>
          <w:szCs w:val="18"/>
        </w:rPr>
        <w:t>Rezaiee-Pajand, M., Entezami, A., Shariatmadar, H.: An iterative order determination method for time-series modeling in structural health monitoring. Advances in Structural Engineering 21</w:t>
      </w:r>
      <w:r w:rsidRPr="001C4437">
        <w:rPr>
          <w:sz w:val="20"/>
          <w:szCs w:val="20"/>
        </w:rPr>
        <w:t>(2): 300</w:t>
      </w:r>
      <w:r>
        <w:rPr>
          <w:sz w:val="20"/>
          <w:szCs w:val="20"/>
        </w:rPr>
        <w:t>-</w:t>
      </w:r>
      <w:r w:rsidRPr="001C4437">
        <w:rPr>
          <w:sz w:val="20"/>
          <w:szCs w:val="20"/>
        </w:rPr>
        <w:t>314 (2018).</w:t>
      </w:r>
    </w:p>
    <w:p w14:paraId="18610F0A" w14:textId="4DBC6234" w:rsidR="007D393A" w:rsidRPr="007D393A" w:rsidRDefault="007D393A" w:rsidP="0057033A">
      <w:pPr>
        <w:pStyle w:val="EndNoteBibliography"/>
        <w:numPr>
          <w:ilvl w:val="0"/>
          <w:numId w:val="14"/>
        </w:numPr>
        <w:spacing w:before="0" w:after="0"/>
        <w:rPr>
          <w:sz w:val="18"/>
          <w:szCs w:val="18"/>
        </w:rPr>
      </w:pPr>
      <w:r w:rsidRPr="007D393A">
        <w:rPr>
          <w:sz w:val="18"/>
          <w:szCs w:val="18"/>
        </w:rPr>
        <w:t>K. Worden, D.W. Allen, H. Sohn, C.R. Farrar, Damage detection in mechanical structures using extreme value statistics,  Smart Structures and Materials: Modeling, Signal Processing, and Control, International Society for Optics and Photonics, San Diego, California, USA, 2002, pp. 289-300.</w:t>
      </w:r>
    </w:p>
    <w:p w14:paraId="5E8AB8FD" w14:textId="5D8A6191" w:rsidR="007D393A" w:rsidRPr="007D393A" w:rsidRDefault="007D393A" w:rsidP="0057033A">
      <w:pPr>
        <w:pStyle w:val="EndNoteBibliography"/>
        <w:numPr>
          <w:ilvl w:val="0"/>
          <w:numId w:val="14"/>
        </w:numPr>
        <w:spacing w:before="0" w:after="0"/>
        <w:rPr>
          <w:sz w:val="18"/>
          <w:szCs w:val="18"/>
        </w:rPr>
      </w:pPr>
      <w:r w:rsidRPr="007D393A">
        <w:rPr>
          <w:sz w:val="18"/>
          <w:szCs w:val="18"/>
        </w:rPr>
        <w:t>H. Sarmadi, A. Entezami, M. Salar, C. De Michele, Bridge health monitoring in environmental variability by new clustering and threshold estimation methods, J. Civ. Struct. Health Monit., 11 (2021) 629-644.</w:t>
      </w:r>
    </w:p>
    <w:p w14:paraId="0AE7B142" w14:textId="4FED4DE8" w:rsidR="007D393A" w:rsidRPr="007D393A" w:rsidRDefault="007D393A" w:rsidP="0057033A">
      <w:pPr>
        <w:pStyle w:val="EndNoteBibliography"/>
        <w:numPr>
          <w:ilvl w:val="0"/>
          <w:numId w:val="14"/>
        </w:numPr>
        <w:spacing w:before="0" w:after="0"/>
        <w:rPr>
          <w:sz w:val="18"/>
          <w:szCs w:val="18"/>
        </w:rPr>
      </w:pPr>
      <w:r w:rsidRPr="007D393A">
        <w:rPr>
          <w:sz w:val="18"/>
          <w:szCs w:val="18"/>
        </w:rPr>
        <w:lastRenderedPageBreak/>
        <w:t>G. Dong, G. Liao, H. Liu, G. Kuang, A Review of the autoencoder and its variants: A comparative perspective from target recognition in synthetic-aperture radar images, IEEE Geoscience and Remote Sensing Magazine, 6 (2018) 44-68.</w:t>
      </w:r>
    </w:p>
    <w:p w14:paraId="7587E14D" w14:textId="54E2894F" w:rsidR="007D393A" w:rsidRPr="007D393A" w:rsidRDefault="007D393A" w:rsidP="0057033A">
      <w:pPr>
        <w:pStyle w:val="EndNoteBibliography"/>
        <w:numPr>
          <w:ilvl w:val="0"/>
          <w:numId w:val="14"/>
        </w:numPr>
        <w:spacing w:before="0" w:after="0"/>
        <w:rPr>
          <w:sz w:val="18"/>
          <w:szCs w:val="18"/>
        </w:rPr>
      </w:pPr>
      <w:r w:rsidRPr="007D393A">
        <w:rPr>
          <w:sz w:val="18"/>
          <w:szCs w:val="18"/>
        </w:rPr>
        <w:t>M. Ester, H.-P. Kriegel, J. Sander, X. Xu, A density-based algorithm for discovering clusters in large spatial databases with noise,  Proceedings of the Second International Conference on Knowledge Discovery and Data Mining, Portland, Oregon, US, 1996, pp. 226-231.</w:t>
      </w:r>
    </w:p>
    <w:p w14:paraId="78DB4D3E" w14:textId="0496BC8E" w:rsidR="007D393A" w:rsidRPr="007D393A" w:rsidRDefault="007D393A" w:rsidP="0057033A">
      <w:pPr>
        <w:pStyle w:val="EndNoteBibliography"/>
        <w:numPr>
          <w:ilvl w:val="0"/>
          <w:numId w:val="14"/>
        </w:numPr>
        <w:spacing w:before="0" w:after="0"/>
        <w:rPr>
          <w:sz w:val="18"/>
          <w:szCs w:val="18"/>
        </w:rPr>
      </w:pPr>
      <w:r w:rsidRPr="007D393A">
        <w:rPr>
          <w:sz w:val="18"/>
          <w:szCs w:val="18"/>
        </w:rPr>
        <w:t>A. Entezami, H. Sarmadi, B. Behkamal, C. De Michele, On continuous health monitoring of bridges under serious environmental variability by an innovative multi-task unsupervised learning method, Struct. Infrastruct. Eng., 20 (2023) 1975-1993.</w:t>
      </w:r>
    </w:p>
    <w:p w14:paraId="102F308C" w14:textId="308EEB01" w:rsidR="007D393A" w:rsidRPr="007D393A" w:rsidRDefault="007D393A" w:rsidP="0057033A">
      <w:pPr>
        <w:pStyle w:val="EndNoteBibliography"/>
        <w:numPr>
          <w:ilvl w:val="0"/>
          <w:numId w:val="14"/>
        </w:numPr>
        <w:spacing w:before="0"/>
        <w:rPr>
          <w:sz w:val="18"/>
          <w:szCs w:val="18"/>
        </w:rPr>
      </w:pPr>
      <w:r w:rsidRPr="007D393A">
        <w:rPr>
          <w:sz w:val="18"/>
          <w:szCs w:val="18"/>
        </w:rPr>
        <w:t>A. Entezami, H. Sarmadi, B. Behkamal, Removal of freezing effects from modal frequencies of civil structures for structural health monitoring, Engineering Structures, 319 (2024) 118722.</w:t>
      </w:r>
    </w:p>
    <w:p w14:paraId="689E648F" w14:textId="7D66296C" w:rsidR="00382277" w:rsidRDefault="007D393A" w:rsidP="0057033A">
      <w:pPr>
        <w:pStyle w:val="referenceitem"/>
        <w:numPr>
          <w:ilvl w:val="0"/>
          <w:numId w:val="0"/>
        </w:numPr>
        <w:spacing w:line="240" w:lineRule="auto"/>
        <w:rPr>
          <w:szCs w:val="18"/>
        </w:rPr>
      </w:pPr>
      <w:r w:rsidRPr="007D393A">
        <w:rPr>
          <w:szCs w:val="18"/>
        </w:rPr>
        <w:fldChar w:fldCharType="end"/>
      </w:r>
    </w:p>
    <w:p w14:paraId="68EE904A" w14:textId="77777777" w:rsidR="007D393A" w:rsidRPr="00606587" w:rsidRDefault="007D393A" w:rsidP="0057033A">
      <w:pPr>
        <w:pStyle w:val="referenceitem"/>
        <w:numPr>
          <w:ilvl w:val="0"/>
          <w:numId w:val="0"/>
        </w:numPr>
        <w:spacing w:line="240" w:lineRule="auto"/>
      </w:pPr>
    </w:p>
    <w:p w14:paraId="0CFB1BC1" w14:textId="77777777" w:rsidR="00F14981" w:rsidRPr="00606587" w:rsidRDefault="00F14981">
      <w:pPr>
        <w:pStyle w:val="referenceitem"/>
        <w:numPr>
          <w:ilvl w:val="0"/>
          <w:numId w:val="0"/>
        </w:numPr>
        <w:spacing w:line="240" w:lineRule="auto"/>
      </w:pPr>
    </w:p>
    <w:sectPr w:rsidR="00F14981" w:rsidRPr="00606587" w:rsidSect="009F7FCE">
      <w:headerReference w:type="even" r:id="rId12"/>
      <w:headerReference w:type="default" r:id="rId13"/>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7D313" w14:textId="77777777" w:rsidR="001734D7" w:rsidRDefault="001734D7">
      <w:r>
        <w:separator/>
      </w:r>
    </w:p>
  </w:endnote>
  <w:endnote w:type="continuationSeparator" w:id="0">
    <w:p w14:paraId="2D4E7E88" w14:textId="77777777" w:rsidR="001734D7" w:rsidRDefault="00173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0F823" w14:textId="77777777" w:rsidR="001734D7" w:rsidRDefault="001734D7" w:rsidP="009F7FCE">
      <w:pPr>
        <w:ind w:firstLine="0"/>
      </w:pPr>
      <w:r>
        <w:separator/>
      </w:r>
    </w:p>
  </w:footnote>
  <w:footnote w:type="continuationSeparator" w:id="0">
    <w:p w14:paraId="1BE7D1DA" w14:textId="77777777" w:rsidR="001734D7" w:rsidRDefault="001734D7"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764F5"/>
    <w:multiLevelType w:val="hybridMultilevel"/>
    <w:tmpl w:val="C1FA145E"/>
    <w:lvl w:ilvl="0" w:tplc="E1B6C124">
      <w:start w:val="1"/>
      <w:numFmt w:val="lowerRoman"/>
      <w:lvlText w:val="(%1)"/>
      <w:lvlJc w:val="left"/>
      <w:pPr>
        <w:ind w:left="587" w:hanging="360"/>
      </w:pPr>
      <w:rPr>
        <w:rFonts w:hint="default"/>
      </w:rPr>
    </w:lvl>
    <w:lvl w:ilvl="1" w:tplc="FFFFFFFF" w:tentative="1">
      <w:start w:val="1"/>
      <w:numFmt w:val="lowerLetter"/>
      <w:lvlText w:val="%2."/>
      <w:lvlJc w:val="left"/>
      <w:pPr>
        <w:ind w:left="1307" w:hanging="360"/>
      </w:pPr>
    </w:lvl>
    <w:lvl w:ilvl="2" w:tplc="FFFFFFFF" w:tentative="1">
      <w:start w:val="1"/>
      <w:numFmt w:val="lowerRoman"/>
      <w:lvlText w:val="%3."/>
      <w:lvlJc w:val="right"/>
      <w:pPr>
        <w:ind w:left="2027" w:hanging="180"/>
      </w:pPr>
    </w:lvl>
    <w:lvl w:ilvl="3" w:tplc="FFFFFFFF" w:tentative="1">
      <w:start w:val="1"/>
      <w:numFmt w:val="decimal"/>
      <w:lvlText w:val="%4."/>
      <w:lvlJc w:val="left"/>
      <w:pPr>
        <w:ind w:left="2747" w:hanging="360"/>
      </w:pPr>
    </w:lvl>
    <w:lvl w:ilvl="4" w:tplc="FFFFFFFF" w:tentative="1">
      <w:start w:val="1"/>
      <w:numFmt w:val="lowerLetter"/>
      <w:lvlText w:val="%5."/>
      <w:lvlJc w:val="left"/>
      <w:pPr>
        <w:ind w:left="3467" w:hanging="360"/>
      </w:pPr>
    </w:lvl>
    <w:lvl w:ilvl="5" w:tplc="FFFFFFFF" w:tentative="1">
      <w:start w:val="1"/>
      <w:numFmt w:val="lowerRoman"/>
      <w:lvlText w:val="%6."/>
      <w:lvlJc w:val="right"/>
      <w:pPr>
        <w:ind w:left="4187" w:hanging="180"/>
      </w:pPr>
    </w:lvl>
    <w:lvl w:ilvl="6" w:tplc="FFFFFFFF" w:tentative="1">
      <w:start w:val="1"/>
      <w:numFmt w:val="decimal"/>
      <w:lvlText w:val="%7."/>
      <w:lvlJc w:val="left"/>
      <w:pPr>
        <w:ind w:left="4907" w:hanging="360"/>
      </w:pPr>
    </w:lvl>
    <w:lvl w:ilvl="7" w:tplc="FFFFFFFF" w:tentative="1">
      <w:start w:val="1"/>
      <w:numFmt w:val="lowerLetter"/>
      <w:lvlText w:val="%8."/>
      <w:lvlJc w:val="left"/>
      <w:pPr>
        <w:ind w:left="5627" w:hanging="360"/>
      </w:pPr>
    </w:lvl>
    <w:lvl w:ilvl="8" w:tplc="FFFFFFFF" w:tentative="1">
      <w:start w:val="1"/>
      <w:numFmt w:val="lowerRoman"/>
      <w:lvlText w:val="%9."/>
      <w:lvlJc w:val="right"/>
      <w:pPr>
        <w:ind w:left="6347" w:hanging="180"/>
      </w:pPr>
    </w:lvl>
  </w:abstractNum>
  <w:abstractNum w:abstractNumId="1" w15:restartNumberingAfterBreak="0">
    <w:nsid w:val="1E986A54"/>
    <w:multiLevelType w:val="multilevel"/>
    <w:tmpl w:val="A1944300"/>
    <w:lvl w:ilvl="0">
      <w:start w:val="1"/>
      <w:numFmt w:val="decimal"/>
      <w:lvlText w:val="%1."/>
      <w:lvlJc w:val="left"/>
      <w:pPr>
        <w:tabs>
          <w:tab w:val="num" w:pos="720"/>
        </w:tabs>
        <w:ind w:left="720" w:hanging="360"/>
      </w:pPr>
      <w:rPr>
        <w:rFonts w:hint="default"/>
        <w:sz w:val="24"/>
        <w:szCs w:val="24"/>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3" w15:restartNumberingAfterBreak="0">
    <w:nsid w:val="23C50739"/>
    <w:multiLevelType w:val="hybridMultilevel"/>
    <w:tmpl w:val="99747BD6"/>
    <w:lvl w:ilvl="0" w:tplc="E1B6C124">
      <w:start w:val="1"/>
      <w:numFmt w:val="lowerRoman"/>
      <w:lvlText w:val="(%1)"/>
      <w:lvlJc w:val="left"/>
      <w:pPr>
        <w:ind w:left="947" w:hanging="360"/>
      </w:pPr>
      <w:rPr>
        <w:rFonts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4" w15:restartNumberingAfterBreak="0">
    <w:nsid w:val="2E831D41"/>
    <w:multiLevelType w:val="hybridMultilevel"/>
    <w:tmpl w:val="DB50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4D4B41"/>
    <w:multiLevelType w:val="hybridMultilevel"/>
    <w:tmpl w:val="10DC3706"/>
    <w:lvl w:ilvl="0" w:tplc="E1B6C124">
      <w:start w:val="1"/>
      <w:numFmt w:val="lowerRoman"/>
      <w:lvlText w:val="(%1)"/>
      <w:lvlJc w:val="left"/>
      <w:pPr>
        <w:ind w:left="587" w:hanging="360"/>
      </w:pPr>
      <w:rPr>
        <w:rFonts w:hint="default"/>
      </w:rPr>
    </w:lvl>
    <w:lvl w:ilvl="1" w:tplc="FFFFFFFF" w:tentative="1">
      <w:start w:val="1"/>
      <w:numFmt w:val="lowerLetter"/>
      <w:lvlText w:val="%2."/>
      <w:lvlJc w:val="left"/>
      <w:pPr>
        <w:ind w:left="1307" w:hanging="360"/>
      </w:pPr>
    </w:lvl>
    <w:lvl w:ilvl="2" w:tplc="FFFFFFFF" w:tentative="1">
      <w:start w:val="1"/>
      <w:numFmt w:val="lowerRoman"/>
      <w:lvlText w:val="%3."/>
      <w:lvlJc w:val="right"/>
      <w:pPr>
        <w:ind w:left="2027" w:hanging="180"/>
      </w:pPr>
    </w:lvl>
    <w:lvl w:ilvl="3" w:tplc="FFFFFFFF" w:tentative="1">
      <w:start w:val="1"/>
      <w:numFmt w:val="decimal"/>
      <w:lvlText w:val="%4."/>
      <w:lvlJc w:val="left"/>
      <w:pPr>
        <w:ind w:left="2747" w:hanging="360"/>
      </w:pPr>
    </w:lvl>
    <w:lvl w:ilvl="4" w:tplc="FFFFFFFF" w:tentative="1">
      <w:start w:val="1"/>
      <w:numFmt w:val="lowerLetter"/>
      <w:lvlText w:val="%5."/>
      <w:lvlJc w:val="left"/>
      <w:pPr>
        <w:ind w:left="3467" w:hanging="360"/>
      </w:pPr>
    </w:lvl>
    <w:lvl w:ilvl="5" w:tplc="FFFFFFFF" w:tentative="1">
      <w:start w:val="1"/>
      <w:numFmt w:val="lowerRoman"/>
      <w:lvlText w:val="%6."/>
      <w:lvlJc w:val="right"/>
      <w:pPr>
        <w:ind w:left="4187" w:hanging="180"/>
      </w:pPr>
    </w:lvl>
    <w:lvl w:ilvl="6" w:tplc="FFFFFFFF" w:tentative="1">
      <w:start w:val="1"/>
      <w:numFmt w:val="decimal"/>
      <w:lvlText w:val="%7."/>
      <w:lvlJc w:val="left"/>
      <w:pPr>
        <w:ind w:left="4907" w:hanging="360"/>
      </w:pPr>
    </w:lvl>
    <w:lvl w:ilvl="7" w:tplc="FFFFFFFF" w:tentative="1">
      <w:start w:val="1"/>
      <w:numFmt w:val="lowerLetter"/>
      <w:lvlText w:val="%8."/>
      <w:lvlJc w:val="left"/>
      <w:pPr>
        <w:ind w:left="5627" w:hanging="360"/>
      </w:pPr>
    </w:lvl>
    <w:lvl w:ilvl="8" w:tplc="FFFFFFFF" w:tentative="1">
      <w:start w:val="1"/>
      <w:numFmt w:val="lowerRoman"/>
      <w:lvlText w:val="%9."/>
      <w:lvlJc w:val="right"/>
      <w:pPr>
        <w:ind w:left="6347" w:hanging="180"/>
      </w:pPr>
    </w:lvl>
  </w:abstractNum>
  <w:abstractNum w:abstractNumId="6" w15:restartNumberingAfterBreak="0">
    <w:nsid w:val="435C69C2"/>
    <w:multiLevelType w:val="hybridMultilevel"/>
    <w:tmpl w:val="85CED7EA"/>
    <w:lvl w:ilvl="0" w:tplc="8B280DFA">
      <w:start w:val="1"/>
      <w:numFmt w:val="lowerRoman"/>
      <w:lvlText w:val="(%1)"/>
      <w:lvlJc w:val="left"/>
      <w:pPr>
        <w:ind w:left="947" w:hanging="72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7" w15:restartNumberingAfterBreak="0">
    <w:nsid w:val="49C71AFA"/>
    <w:multiLevelType w:val="multilevel"/>
    <w:tmpl w:val="55B44E4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CA0D88"/>
    <w:multiLevelType w:val="multilevel"/>
    <w:tmpl w:val="1ABACBA8"/>
    <w:lvl w:ilvl="0">
      <w:start w:val="1"/>
      <w:numFmt w:val="decimal"/>
      <w:lvlText w:val="%1."/>
      <w:lvlJc w:val="left"/>
      <w:pPr>
        <w:ind w:left="720" w:hanging="360"/>
      </w:pPr>
      <w:rPr>
        <w:rFonts w:hint="default"/>
        <w:sz w:val="20"/>
        <w:szCs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C43362"/>
    <w:multiLevelType w:val="hybridMultilevel"/>
    <w:tmpl w:val="E37CC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2070C2"/>
    <w:multiLevelType w:val="hybridMultilevel"/>
    <w:tmpl w:val="136C63E2"/>
    <w:lvl w:ilvl="0" w:tplc="667E4840">
      <w:start w:val="1"/>
      <w:numFmt w:val="lowerRoman"/>
      <w:lvlText w:val="(%1)"/>
      <w:lvlJc w:val="left"/>
      <w:pPr>
        <w:ind w:left="947" w:hanging="72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1"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2"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2"/>
  </w:num>
  <w:num w:numId="2" w16cid:durableId="1320845079">
    <w:abstractNumId w:val="2"/>
  </w:num>
  <w:num w:numId="3" w16cid:durableId="368648402">
    <w:abstractNumId w:val="11"/>
  </w:num>
  <w:num w:numId="4" w16cid:durableId="1945990336">
    <w:abstractNumId w:val="11"/>
  </w:num>
  <w:num w:numId="5" w16cid:durableId="759182713">
    <w:abstractNumId w:val="13"/>
  </w:num>
  <w:num w:numId="6" w16cid:durableId="259140242">
    <w:abstractNumId w:val="13"/>
  </w:num>
  <w:num w:numId="7" w16cid:durableId="1978294339">
    <w:abstractNumId w:val="12"/>
  </w:num>
  <w:num w:numId="8" w16cid:durableId="1334994516">
    <w:abstractNumId w:val="14"/>
  </w:num>
  <w:num w:numId="9" w16cid:durableId="461315722">
    <w:abstractNumId w:val="14"/>
  </w:num>
  <w:num w:numId="10" w16cid:durableId="54007716">
    <w:abstractNumId w:val="4"/>
  </w:num>
  <w:num w:numId="11" w16cid:durableId="1526752364">
    <w:abstractNumId w:val="1"/>
  </w:num>
  <w:num w:numId="12" w16cid:durableId="1123424075">
    <w:abstractNumId w:val="8"/>
  </w:num>
  <w:num w:numId="13" w16cid:durableId="1059590571">
    <w:abstractNumId w:val="7"/>
  </w:num>
  <w:num w:numId="14" w16cid:durableId="1558589401">
    <w:abstractNumId w:val="9"/>
  </w:num>
  <w:num w:numId="15" w16cid:durableId="1753234544">
    <w:abstractNumId w:val="6"/>
  </w:num>
  <w:num w:numId="16" w16cid:durableId="1314337304">
    <w:abstractNumId w:val="5"/>
  </w:num>
  <w:num w:numId="17" w16cid:durableId="1446118400">
    <w:abstractNumId w:val="10"/>
  </w:num>
  <w:num w:numId="18" w16cid:durableId="1716392816">
    <w:abstractNumId w:val="0"/>
  </w:num>
  <w:num w:numId="19" w16cid:durableId="133857929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7B52"/>
    <w:rsid w:val="00060078"/>
    <w:rsid w:val="000A518F"/>
    <w:rsid w:val="000D075E"/>
    <w:rsid w:val="000F2464"/>
    <w:rsid w:val="00111A83"/>
    <w:rsid w:val="0013207A"/>
    <w:rsid w:val="001734D7"/>
    <w:rsid w:val="001A02F0"/>
    <w:rsid w:val="0028132C"/>
    <w:rsid w:val="002D48C5"/>
    <w:rsid w:val="00382277"/>
    <w:rsid w:val="003C3143"/>
    <w:rsid w:val="003E1A4C"/>
    <w:rsid w:val="003E3F0A"/>
    <w:rsid w:val="004E2EA7"/>
    <w:rsid w:val="00552219"/>
    <w:rsid w:val="0057033A"/>
    <w:rsid w:val="00640509"/>
    <w:rsid w:val="00672542"/>
    <w:rsid w:val="006D6599"/>
    <w:rsid w:val="0070376B"/>
    <w:rsid w:val="00723E67"/>
    <w:rsid w:val="007B16F4"/>
    <w:rsid w:val="007C4102"/>
    <w:rsid w:val="007D393A"/>
    <w:rsid w:val="008F2D4C"/>
    <w:rsid w:val="009930E4"/>
    <w:rsid w:val="009B2539"/>
    <w:rsid w:val="009F7FCE"/>
    <w:rsid w:val="00A75EFE"/>
    <w:rsid w:val="00AB47A7"/>
    <w:rsid w:val="00B01467"/>
    <w:rsid w:val="00B23481"/>
    <w:rsid w:val="00B23996"/>
    <w:rsid w:val="00B414FA"/>
    <w:rsid w:val="00B819C1"/>
    <w:rsid w:val="00BC028E"/>
    <w:rsid w:val="00CC2329"/>
    <w:rsid w:val="00CC28BF"/>
    <w:rsid w:val="00D453C3"/>
    <w:rsid w:val="00DC2CA9"/>
    <w:rsid w:val="00DE0FE8"/>
    <w:rsid w:val="00E06617"/>
    <w:rsid w:val="00E603C7"/>
    <w:rsid w:val="00E917CF"/>
    <w:rsid w:val="00EB762B"/>
    <w:rsid w:val="00F14981"/>
    <w:rsid w:val="00F321B4"/>
    <w:rsid w:val="00FA3BE3"/>
    <w:rsid w:val="00FF6F9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uiPriority="9"/>
    <w:lsdException w:name="heading 2" w:semiHidden="1" w:uiPriority="9"/>
    <w:lsdException w:name="heading 3" w:semiHidden="1" w:uiPriority="9"/>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uiPriority w:val="9"/>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uiPriority w:val="9"/>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uiPriority w:val="9"/>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ListParagraph">
    <w:name w:val="List Paragraph"/>
    <w:basedOn w:val="Normal"/>
    <w:uiPriority w:val="34"/>
    <w:qFormat/>
    <w:rsid w:val="00672542"/>
    <w:pPr>
      <w:overflowPunct/>
      <w:autoSpaceDE/>
      <w:autoSpaceDN/>
      <w:adjustRightInd/>
      <w:spacing w:after="160" w:line="240" w:lineRule="auto"/>
      <w:ind w:left="720" w:firstLine="0"/>
      <w:contextualSpacing/>
      <w:textAlignment w:val="auto"/>
    </w:pPr>
    <w:rPr>
      <w:rFonts w:asciiTheme="majorBidi" w:eastAsiaTheme="minorHAnsi" w:hAnsiTheme="majorBidi" w:cs="Tahoma"/>
      <w:sz w:val="24"/>
      <w:szCs w:val="22"/>
    </w:rPr>
  </w:style>
  <w:style w:type="table" w:styleId="TableGrid">
    <w:name w:val="Table Grid"/>
    <w:basedOn w:val="TableNormal"/>
    <w:uiPriority w:val="39"/>
    <w:rsid w:val="00B2399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0D075E"/>
    <w:pPr>
      <w:overflowPunct/>
      <w:autoSpaceDE/>
      <w:autoSpaceDN/>
      <w:adjustRightInd/>
      <w:spacing w:after="120" w:line="240" w:lineRule="auto"/>
      <w:ind w:firstLine="0"/>
      <w:jc w:val="center"/>
      <w:textAlignment w:val="auto"/>
    </w:pPr>
    <w:rPr>
      <w:rFonts w:eastAsiaTheme="minorHAnsi"/>
      <w:sz w:val="22"/>
      <w:szCs w:val="22"/>
    </w:rPr>
  </w:style>
  <w:style w:type="character" w:customStyle="1" w:styleId="CaptionChar">
    <w:name w:val="Caption Char"/>
    <w:link w:val="Caption"/>
    <w:rsid w:val="000D075E"/>
    <w:rPr>
      <w:rFonts w:eastAsiaTheme="minorHAnsi"/>
      <w:sz w:val="22"/>
      <w:szCs w:val="22"/>
      <w:lang w:val="en-US" w:eastAsia="en-US"/>
    </w:rPr>
  </w:style>
  <w:style w:type="character" w:styleId="Strong">
    <w:name w:val="Strong"/>
    <w:basedOn w:val="DefaultParagraphFont"/>
    <w:uiPriority w:val="22"/>
    <w:qFormat/>
    <w:rsid w:val="000D075E"/>
    <w:rPr>
      <w:b/>
      <w:bCs/>
    </w:rPr>
  </w:style>
  <w:style w:type="character" w:customStyle="1" w:styleId="katex-mathml">
    <w:name w:val="katex-mathml"/>
    <w:basedOn w:val="DefaultParagraphFont"/>
    <w:rsid w:val="000D075E"/>
  </w:style>
  <w:style w:type="character" w:customStyle="1" w:styleId="vlist-s">
    <w:name w:val="vlist-s"/>
    <w:basedOn w:val="DefaultParagraphFont"/>
    <w:rsid w:val="000D075E"/>
  </w:style>
  <w:style w:type="character" w:styleId="Emphasis">
    <w:name w:val="Emphasis"/>
    <w:basedOn w:val="DefaultParagraphFont"/>
    <w:uiPriority w:val="20"/>
    <w:qFormat/>
    <w:rsid w:val="000D075E"/>
    <w:rPr>
      <w:i/>
      <w:iCs/>
    </w:rPr>
  </w:style>
  <w:style w:type="paragraph" w:customStyle="1" w:styleId="EndNoteBibliography">
    <w:name w:val="EndNote Bibliography"/>
    <w:basedOn w:val="Normal"/>
    <w:link w:val="EndNoteBibliographyChar"/>
    <w:rsid w:val="007D393A"/>
    <w:pPr>
      <w:overflowPunct/>
      <w:autoSpaceDE/>
      <w:autoSpaceDN/>
      <w:adjustRightInd/>
      <w:spacing w:before="120" w:after="120" w:line="240" w:lineRule="auto"/>
      <w:ind w:firstLine="0"/>
      <w:textAlignment w:val="auto"/>
    </w:pPr>
    <w:rPr>
      <w:rFonts w:eastAsiaTheme="minorHAnsi"/>
      <w:noProof/>
      <w:sz w:val="22"/>
      <w:szCs w:val="22"/>
    </w:rPr>
  </w:style>
  <w:style w:type="character" w:customStyle="1" w:styleId="EndNoteBibliographyChar">
    <w:name w:val="EndNote Bibliography Char"/>
    <w:basedOn w:val="DefaultParagraphFont"/>
    <w:link w:val="EndNoteBibliography"/>
    <w:rsid w:val="007D393A"/>
    <w:rPr>
      <w:rFonts w:eastAsiaTheme="minorHAnsi"/>
      <w:noProof/>
      <w:sz w:val="22"/>
      <w:szCs w:val="22"/>
      <w:lang w:val="en-US" w:eastAsia="en-US"/>
    </w:rPr>
  </w:style>
  <w:style w:type="character" w:styleId="PlaceholderText">
    <w:name w:val="Placeholder Text"/>
    <w:basedOn w:val="DefaultParagraphFont"/>
    <w:uiPriority w:val="99"/>
    <w:semiHidden/>
    <w:rsid w:val="007D39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908829">
      <w:bodyDiv w:val="1"/>
      <w:marLeft w:val="0"/>
      <w:marRight w:val="0"/>
      <w:marTop w:val="0"/>
      <w:marBottom w:val="0"/>
      <w:divBdr>
        <w:top w:val="none" w:sz="0" w:space="0" w:color="auto"/>
        <w:left w:val="none" w:sz="0" w:space="0" w:color="auto"/>
        <w:bottom w:val="none" w:sz="0" w:space="0" w:color="auto"/>
        <w:right w:val="none" w:sz="0" w:space="0" w:color="auto"/>
      </w:divBdr>
    </w:div>
    <w:div w:id="1661226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47</TotalTime>
  <Pages>11</Pages>
  <Words>5030</Words>
  <Characters>28675</Characters>
  <Application>Microsoft Office Word</Application>
  <DocSecurity>0</DocSecurity>
  <Lines>238</Lines>
  <Paragraphs>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33638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Omidi Mamaghani, Mohammad (UT-ET)</cp:lastModifiedBy>
  <cp:revision>13</cp:revision>
  <cp:lastPrinted>2025-05-03T14:32:00Z</cp:lastPrinted>
  <dcterms:created xsi:type="dcterms:W3CDTF">2025-05-03T14:33:00Z</dcterms:created>
  <dcterms:modified xsi:type="dcterms:W3CDTF">2025-05-22T11:24:00Z</dcterms:modified>
</cp:coreProperties>
</file>